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DE"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SVEUČILIŠTE U SPLITU</w:t>
      </w:r>
    </w:p>
    <w:p w:rsidR="001A63C4" w:rsidRPr="001A63C4" w:rsidRDefault="001A63C4" w:rsidP="001A63C4">
      <w:pPr>
        <w:spacing w:after="0"/>
        <w:rPr>
          <w:rFonts w:ascii="Times New Roman" w:hAnsi="Times New Roman" w:cs="Times New Roman"/>
          <w:b/>
          <w:sz w:val="24"/>
          <w:szCs w:val="24"/>
        </w:rPr>
      </w:pPr>
      <w:r w:rsidRPr="001A63C4">
        <w:rPr>
          <w:rFonts w:ascii="Times New Roman" w:hAnsi="Times New Roman" w:cs="Times New Roman"/>
          <w:b/>
          <w:sz w:val="24"/>
          <w:szCs w:val="24"/>
        </w:rPr>
        <w:t>POMORSKI FAKULTET</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Ruđera Boškovića 37, Split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 xml:space="preserve">Split, </w:t>
      </w:r>
      <w:r w:rsidR="00C62531">
        <w:rPr>
          <w:rFonts w:ascii="Times New Roman" w:hAnsi="Times New Roman" w:cs="Times New Roman"/>
          <w:sz w:val="24"/>
          <w:szCs w:val="24"/>
        </w:rPr>
        <w:t>15</w:t>
      </w:r>
      <w:r>
        <w:rPr>
          <w:rFonts w:ascii="Times New Roman" w:hAnsi="Times New Roman" w:cs="Times New Roman"/>
          <w:sz w:val="24"/>
          <w:szCs w:val="24"/>
        </w:rPr>
        <w:t>.0</w:t>
      </w:r>
      <w:r w:rsidR="00C62531">
        <w:rPr>
          <w:rFonts w:ascii="Times New Roman" w:hAnsi="Times New Roman" w:cs="Times New Roman"/>
          <w:sz w:val="24"/>
          <w:szCs w:val="24"/>
        </w:rPr>
        <w:t>7</w:t>
      </w:r>
      <w:r>
        <w:rPr>
          <w:rFonts w:ascii="Times New Roman" w:hAnsi="Times New Roman" w:cs="Times New Roman"/>
          <w:sz w:val="24"/>
          <w:szCs w:val="24"/>
        </w:rPr>
        <w:t>.2</w:t>
      </w:r>
      <w:r w:rsidR="004B5AE8">
        <w:rPr>
          <w:rFonts w:ascii="Times New Roman" w:hAnsi="Times New Roman" w:cs="Times New Roman"/>
          <w:sz w:val="24"/>
          <w:szCs w:val="24"/>
        </w:rPr>
        <w:t>4</w:t>
      </w:r>
      <w:r>
        <w:rPr>
          <w:rFonts w:ascii="Times New Roman" w:hAnsi="Times New Roman" w:cs="Times New Roman"/>
          <w:sz w:val="24"/>
          <w:szCs w:val="24"/>
        </w:rPr>
        <w: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Broj RKP: 22460</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Matični broj: 01406043</w:t>
      </w: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OIB 24624257529</w:t>
      </w: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 xml:space="preserve">OBRAZLOŽENJE </w:t>
      </w:r>
      <w:r w:rsidR="00C62531">
        <w:rPr>
          <w:rFonts w:ascii="Times New Roman" w:hAnsi="Times New Roman" w:cs="Times New Roman"/>
          <w:b/>
          <w:sz w:val="24"/>
          <w:szCs w:val="24"/>
        </w:rPr>
        <w:t>POLU</w:t>
      </w:r>
      <w:r w:rsidRPr="001A63C4">
        <w:rPr>
          <w:rFonts w:ascii="Times New Roman" w:hAnsi="Times New Roman" w:cs="Times New Roman"/>
          <w:b/>
          <w:sz w:val="24"/>
          <w:szCs w:val="24"/>
        </w:rPr>
        <w:t>GODIŠNJEG IZVJEŠTAJA O IZVRŠENJU FINANCIJSKOG PLANA ZA 202</w:t>
      </w:r>
      <w:r w:rsidR="00C62531">
        <w:rPr>
          <w:rFonts w:ascii="Times New Roman" w:hAnsi="Times New Roman" w:cs="Times New Roman"/>
          <w:b/>
          <w:sz w:val="24"/>
          <w:szCs w:val="24"/>
        </w:rPr>
        <w:t>4</w:t>
      </w:r>
      <w:r w:rsidRPr="001A63C4">
        <w:rPr>
          <w:rFonts w:ascii="Times New Roman" w:hAnsi="Times New Roman" w:cs="Times New Roman"/>
          <w:b/>
          <w:sz w:val="24"/>
          <w:szCs w:val="24"/>
        </w:rPr>
        <w:t xml:space="preserve"> GODINU</w:t>
      </w:r>
    </w:p>
    <w:p w:rsidR="001A63C4" w:rsidRDefault="001A63C4" w:rsidP="007F6443">
      <w:pPr>
        <w:spacing w:after="0"/>
        <w:jc w:val="both"/>
        <w:rPr>
          <w:rFonts w:ascii="Times New Roman" w:hAnsi="Times New Roman" w:cs="Times New Roman"/>
          <w:b/>
          <w:sz w:val="24"/>
          <w:szCs w:val="24"/>
        </w:rPr>
      </w:pP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Financijski plan je akt Pomorskog fakulteta u Splitu kojim se utvrđuju njegovi prihodi i primici, te rashodi i izdaci u skladu s proračunskim klasifikacijama. Financijski plan se donosi i izvršava u skladu s načelima jedinstva i točnosti proračuna, načelu jedne godine, uravnoteženosti, obračunske jedinice, univerzalnosti, specifikacije, dobrog financijskog upravljanja i transparentnosti.</w:t>
      </w: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OBRAZLOŽENJE OPĆEG DIJELA POLUGODIŠNJEG IZVJEŠTAJA O IZVRŠENJU FINANCIJSKOG PLANA ZA 202</w:t>
      </w:r>
      <w:r w:rsidR="00C62531">
        <w:rPr>
          <w:rFonts w:ascii="Times New Roman" w:hAnsi="Times New Roman" w:cs="Times New Roman"/>
          <w:b/>
          <w:sz w:val="24"/>
          <w:szCs w:val="24"/>
        </w:rPr>
        <w:t>4</w:t>
      </w:r>
      <w:r w:rsidRPr="001A63C4">
        <w:rPr>
          <w:rFonts w:ascii="Times New Roman" w:hAnsi="Times New Roman" w:cs="Times New Roman"/>
          <w:b/>
          <w:sz w:val="24"/>
          <w:szCs w:val="24"/>
        </w:rPr>
        <w:t xml:space="preserve"> GODINU</w:t>
      </w:r>
    </w:p>
    <w:p w:rsidR="001A63C4" w:rsidRDefault="001A63C4" w:rsidP="007F6443">
      <w:pPr>
        <w:spacing w:after="0"/>
        <w:ind w:left="36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A63C4" w:rsidRPr="001A63C4">
        <w:rPr>
          <w:rFonts w:ascii="Times New Roman" w:hAnsi="Times New Roman" w:cs="Times New Roman"/>
          <w:b/>
          <w:sz w:val="24"/>
          <w:szCs w:val="24"/>
        </w:rPr>
        <w:t>1.Uvod</w:t>
      </w:r>
    </w:p>
    <w:p w:rsidR="007F6443" w:rsidRDefault="007F6443" w:rsidP="007F6443">
      <w:pPr>
        <w:spacing w:after="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63C4" w:rsidRPr="007F6443">
        <w:rPr>
          <w:rFonts w:ascii="Times New Roman" w:hAnsi="Times New Roman" w:cs="Times New Roman"/>
          <w:sz w:val="24"/>
          <w:szCs w:val="24"/>
        </w:rPr>
        <w:t xml:space="preserve">Sukladno Zakonu o proračunu, članak 76. stavak 3 i članak 81 stavak </w:t>
      </w:r>
      <w:r w:rsidRPr="007F6443">
        <w:rPr>
          <w:rFonts w:ascii="Times New Roman" w:hAnsi="Times New Roman" w:cs="Times New Roman"/>
          <w:sz w:val="24"/>
          <w:szCs w:val="24"/>
        </w:rPr>
        <w:t>3,</w:t>
      </w:r>
      <w:r w:rsidR="001A63C4" w:rsidRPr="007F6443">
        <w:rPr>
          <w:rFonts w:ascii="Times New Roman" w:hAnsi="Times New Roman" w:cs="Times New Roman"/>
          <w:sz w:val="24"/>
          <w:szCs w:val="24"/>
        </w:rPr>
        <w:t xml:space="preserve"> a na temelju smjernica ekonomske i fiskalne politike</w:t>
      </w:r>
      <w:r>
        <w:rPr>
          <w:rFonts w:ascii="Times New Roman" w:hAnsi="Times New Roman" w:cs="Times New Roman"/>
          <w:sz w:val="24"/>
          <w:szCs w:val="24"/>
        </w:rPr>
        <w:t>, proračunski korisnik je izradio Izvještaj o polugodišnjem izvršenju financijskog plana za 202</w:t>
      </w:r>
      <w:r w:rsidR="00C62531">
        <w:rPr>
          <w:rFonts w:ascii="Times New Roman" w:hAnsi="Times New Roman" w:cs="Times New Roman"/>
          <w:sz w:val="24"/>
          <w:szCs w:val="24"/>
        </w:rPr>
        <w:t>4</w:t>
      </w:r>
      <w:r>
        <w:rPr>
          <w:rFonts w:ascii="Times New Roman" w:hAnsi="Times New Roman" w:cs="Times New Roman"/>
          <w:sz w:val="24"/>
          <w:szCs w:val="24"/>
        </w:rPr>
        <w:t>. godinu.</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Prema članu 86. zakona o proračunu (NN 144/21) izvještaj je dan na usvajanje Fakultetskom vijeću </w:t>
      </w:r>
      <w:r w:rsidR="004B5AE8">
        <w:rPr>
          <w:rFonts w:ascii="Times New Roman" w:hAnsi="Times New Roman" w:cs="Times New Roman"/>
          <w:sz w:val="24"/>
          <w:szCs w:val="24"/>
        </w:rPr>
        <w:t>u veljači</w:t>
      </w:r>
      <w:r w:rsidR="00FB5708">
        <w:rPr>
          <w:rFonts w:ascii="Times New Roman" w:hAnsi="Times New Roman" w:cs="Times New Roman"/>
          <w:sz w:val="24"/>
          <w:szCs w:val="24"/>
        </w:rPr>
        <w:t xml:space="preserve"> u skladu s aktima kojima je uređen rad Fakulteta.</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S obzirom na korištenje kolektivnog godišnjeg odmora i rada Fakultetskog vijeća, isto je usvojilo Izvještaj o izvršenju izrađen po vlastitom predlošku.</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Financijski plan Fakulteta čine prihodi i primici, te rashodi i izdaci raspoređeni u programe koji se sastoje od aktivnosti i projekata, a iskazani su prema ekonomskoj i funkcijskoj klasifikaciji, te izvorima financiranja.</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Obrazloženje godišnjeg izvršenja financijskog plana sadrži obrazloženje općeg dijela po ekonomskoj klasifikaciji i izvorima financiranja. Opći dio sastoji se od ostvarenja prihoda i rashoda</w:t>
      </w:r>
      <w:r w:rsidR="00234E01">
        <w:rPr>
          <w:rFonts w:ascii="Times New Roman" w:hAnsi="Times New Roman" w:cs="Times New Roman"/>
          <w:sz w:val="24"/>
          <w:szCs w:val="24"/>
        </w:rPr>
        <w:t>,</w:t>
      </w:r>
      <w:r>
        <w:rPr>
          <w:rFonts w:ascii="Times New Roman" w:hAnsi="Times New Roman" w:cs="Times New Roman"/>
          <w:sz w:val="24"/>
          <w:szCs w:val="24"/>
        </w:rPr>
        <w:t xml:space="preserve"> </w:t>
      </w:r>
      <w:r w:rsidR="00234E01">
        <w:rPr>
          <w:rFonts w:ascii="Times New Roman" w:hAnsi="Times New Roman" w:cs="Times New Roman"/>
          <w:sz w:val="24"/>
          <w:szCs w:val="24"/>
        </w:rPr>
        <w:t>p</w:t>
      </w:r>
      <w:r>
        <w:rPr>
          <w:rFonts w:ascii="Times New Roman" w:hAnsi="Times New Roman" w:cs="Times New Roman"/>
          <w:sz w:val="24"/>
          <w:szCs w:val="24"/>
        </w:rPr>
        <w:t>rimitaka i izdataka u 202</w:t>
      </w:r>
      <w:r w:rsidR="00C62531">
        <w:rPr>
          <w:rFonts w:ascii="Times New Roman" w:hAnsi="Times New Roman" w:cs="Times New Roman"/>
          <w:sz w:val="24"/>
          <w:szCs w:val="24"/>
        </w:rPr>
        <w:t>4</w:t>
      </w:r>
      <w:r>
        <w:rPr>
          <w:rFonts w:ascii="Times New Roman" w:hAnsi="Times New Roman" w:cs="Times New Roman"/>
          <w:sz w:val="24"/>
          <w:szCs w:val="24"/>
        </w:rPr>
        <w:t xml:space="preserve"> godini i od ostvarenog prijenosa sredstava iz prethodne godine i prijenosa sredstava u slijedeću godinu.</w:t>
      </w:r>
    </w:p>
    <w:p w:rsidR="007F6443" w:rsidRPr="007F6443" w:rsidRDefault="007F6443" w:rsidP="007F6443">
      <w:pPr>
        <w:spacing w:after="0"/>
        <w:jc w:val="both"/>
        <w:rPr>
          <w:rFonts w:ascii="Times New Roman" w:hAnsi="Times New Roman" w:cs="Times New Roman"/>
          <w:sz w:val="24"/>
          <w:szCs w:val="24"/>
        </w:rPr>
      </w:pPr>
    </w:p>
    <w:p w:rsidR="001A63C4" w:rsidRDefault="001A63C4"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11145A" w:rsidRDefault="00DD562C" w:rsidP="00FB570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234E01">
        <w:rPr>
          <w:rFonts w:ascii="Times New Roman" w:hAnsi="Times New Roman" w:cs="Times New Roman"/>
          <w:b/>
          <w:sz w:val="24"/>
          <w:szCs w:val="24"/>
        </w:rPr>
        <w:t xml:space="preserve"> Opći dio</w:t>
      </w:r>
    </w:p>
    <w:p w:rsidR="001363F7" w:rsidRDefault="001363F7" w:rsidP="00FB5708">
      <w:pPr>
        <w:spacing w:after="0"/>
        <w:jc w:val="both"/>
        <w:rPr>
          <w:rFonts w:ascii="Times New Roman" w:hAnsi="Times New Roman" w:cs="Times New Roman"/>
          <w:sz w:val="24"/>
          <w:szCs w:val="24"/>
        </w:rPr>
      </w:pPr>
    </w:p>
    <w:p w:rsidR="0011145A" w:rsidRDefault="0011145A" w:rsidP="00FB5708">
      <w:pPr>
        <w:spacing w:after="0"/>
        <w:jc w:val="both"/>
        <w:rPr>
          <w:rFonts w:ascii="Times New Roman" w:hAnsi="Times New Roman" w:cs="Times New Roman"/>
          <w:sz w:val="24"/>
          <w:szCs w:val="24"/>
        </w:rPr>
      </w:pPr>
      <w:r>
        <w:rPr>
          <w:rFonts w:ascii="Times New Roman" w:hAnsi="Times New Roman" w:cs="Times New Roman"/>
          <w:sz w:val="24"/>
          <w:szCs w:val="24"/>
        </w:rPr>
        <w:t>Strukturu Izvršenja prethodne godine, plana i izvršenja tekuće godine čine:</w:t>
      </w:r>
    </w:p>
    <w:tbl>
      <w:tblPr>
        <w:tblStyle w:val="TableGrid"/>
        <w:tblpPr w:leftFromText="180" w:rightFromText="180" w:vertAnchor="text" w:horzAnchor="margin" w:tblpY="231"/>
        <w:tblW w:w="0" w:type="auto"/>
        <w:tblLook w:val="04A0" w:firstRow="1" w:lastRow="0" w:firstColumn="1" w:lastColumn="0" w:noHBand="0" w:noVBand="1"/>
      </w:tblPr>
      <w:tblGrid>
        <w:gridCol w:w="4248"/>
        <w:gridCol w:w="1476"/>
        <w:gridCol w:w="1417"/>
        <w:gridCol w:w="1559"/>
      </w:tblGrid>
      <w:tr w:rsidR="00CC380A" w:rsidRPr="0011145A" w:rsidTr="00CC380A">
        <w:trPr>
          <w:trHeight w:val="945"/>
        </w:trPr>
        <w:tc>
          <w:tcPr>
            <w:tcW w:w="4248"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PRIHODI/RASHODI</w:t>
            </w:r>
          </w:p>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TEKUĆA GODINA </w:t>
            </w:r>
          </w:p>
        </w:tc>
        <w:tc>
          <w:tcPr>
            <w:tcW w:w="1276"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Izvršenje prethodne godine</w:t>
            </w:r>
          </w:p>
        </w:tc>
        <w:tc>
          <w:tcPr>
            <w:tcW w:w="1417"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Plan tekuće godine</w:t>
            </w:r>
          </w:p>
        </w:tc>
        <w:tc>
          <w:tcPr>
            <w:tcW w:w="1559"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Izvršenje tekuće godine </w:t>
            </w:r>
          </w:p>
        </w:tc>
      </w:tr>
      <w:tr w:rsidR="00CC380A" w:rsidRPr="0011145A" w:rsidTr="00CC380A">
        <w:trPr>
          <w:trHeight w:val="387"/>
        </w:trPr>
        <w:tc>
          <w:tcPr>
            <w:tcW w:w="4248" w:type="dxa"/>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Prihodi ukupno</w:t>
            </w:r>
          </w:p>
        </w:tc>
        <w:tc>
          <w:tcPr>
            <w:tcW w:w="1276" w:type="dxa"/>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2.500,038,61</w:t>
            </w:r>
          </w:p>
        </w:tc>
        <w:tc>
          <w:tcPr>
            <w:tcW w:w="1417" w:type="dxa"/>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5.244.244</w:t>
            </w:r>
          </w:p>
        </w:tc>
        <w:tc>
          <w:tcPr>
            <w:tcW w:w="1559" w:type="dxa"/>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2.813.065,86</w:t>
            </w:r>
          </w:p>
        </w:tc>
      </w:tr>
      <w:tr w:rsidR="00CC380A" w:rsidRPr="0011145A" w:rsidTr="00CC380A">
        <w:trPr>
          <w:trHeight w:val="381"/>
        </w:trPr>
        <w:tc>
          <w:tcPr>
            <w:tcW w:w="4248"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Prihodi poslovanja</w:t>
            </w:r>
          </w:p>
        </w:tc>
        <w:tc>
          <w:tcPr>
            <w:tcW w:w="1276"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2.500.038,61</w:t>
            </w:r>
          </w:p>
        </w:tc>
        <w:tc>
          <w:tcPr>
            <w:tcW w:w="1417"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5.244.244</w:t>
            </w:r>
          </w:p>
        </w:tc>
        <w:tc>
          <w:tcPr>
            <w:tcW w:w="1559"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2.813.065,86</w:t>
            </w:r>
          </w:p>
        </w:tc>
      </w:tr>
      <w:tr w:rsidR="00CC380A" w:rsidRPr="0011145A" w:rsidTr="00CC380A">
        <w:trPr>
          <w:trHeight w:val="361"/>
        </w:trPr>
        <w:tc>
          <w:tcPr>
            <w:tcW w:w="4248" w:type="dxa"/>
            <w:noWrap/>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Prihodi od prodaje nefinancijske imovine</w:t>
            </w:r>
          </w:p>
        </w:tc>
        <w:tc>
          <w:tcPr>
            <w:tcW w:w="1276"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417"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559"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0</w:t>
            </w:r>
          </w:p>
        </w:tc>
      </w:tr>
      <w:tr w:rsidR="00CC380A" w:rsidRPr="0011145A" w:rsidTr="00CC380A">
        <w:trPr>
          <w:trHeight w:val="355"/>
        </w:trPr>
        <w:tc>
          <w:tcPr>
            <w:tcW w:w="4248" w:type="dxa"/>
            <w:noWrap/>
            <w:hideMark/>
          </w:tcPr>
          <w:p w:rsidR="00CC380A" w:rsidRPr="0011145A" w:rsidRDefault="00CC380A" w:rsidP="00CC380A">
            <w:pPr>
              <w:jc w:val="both"/>
              <w:rPr>
                <w:rFonts w:ascii="Times New Roman" w:hAnsi="Times New Roman" w:cs="Times New Roman"/>
                <w:b/>
                <w:bCs/>
                <w:sz w:val="24"/>
                <w:szCs w:val="24"/>
              </w:rPr>
            </w:pPr>
            <w:r w:rsidRPr="0011145A">
              <w:rPr>
                <w:rFonts w:ascii="Times New Roman" w:hAnsi="Times New Roman" w:cs="Times New Roman"/>
                <w:b/>
                <w:bCs/>
                <w:sz w:val="24"/>
                <w:szCs w:val="24"/>
              </w:rPr>
              <w:t>R</w:t>
            </w:r>
            <w:r>
              <w:rPr>
                <w:rFonts w:ascii="Times New Roman" w:hAnsi="Times New Roman" w:cs="Times New Roman"/>
                <w:b/>
                <w:bCs/>
                <w:sz w:val="24"/>
                <w:szCs w:val="24"/>
              </w:rPr>
              <w:t>ashodi ukupno</w:t>
            </w:r>
          </w:p>
        </w:tc>
        <w:tc>
          <w:tcPr>
            <w:tcW w:w="1276" w:type="dxa"/>
            <w:noWrap/>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2.500.038,61</w:t>
            </w:r>
          </w:p>
        </w:tc>
        <w:tc>
          <w:tcPr>
            <w:tcW w:w="1417" w:type="dxa"/>
            <w:noWrap/>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5.244.244</w:t>
            </w:r>
          </w:p>
        </w:tc>
        <w:tc>
          <w:tcPr>
            <w:tcW w:w="1559" w:type="dxa"/>
            <w:noWrap/>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2.813.065,86</w:t>
            </w:r>
          </w:p>
        </w:tc>
      </w:tr>
      <w:tr w:rsidR="00CC380A" w:rsidRPr="0011145A" w:rsidTr="00CC380A">
        <w:trPr>
          <w:trHeight w:val="349"/>
        </w:trPr>
        <w:tc>
          <w:tcPr>
            <w:tcW w:w="4248" w:type="dxa"/>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poslovanja</w:t>
            </w:r>
          </w:p>
        </w:tc>
        <w:tc>
          <w:tcPr>
            <w:tcW w:w="1276"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2.264.481,67</w:t>
            </w:r>
          </w:p>
        </w:tc>
        <w:tc>
          <w:tcPr>
            <w:tcW w:w="1417"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5.335.430</w:t>
            </w:r>
          </w:p>
        </w:tc>
        <w:tc>
          <w:tcPr>
            <w:tcW w:w="1559"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2.698.758,60</w:t>
            </w:r>
          </w:p>
        </w:tc>
      </w:tr>
      <w:tr w:rsidR="00CC380A" w:rsidRPr="0011145A" w:rsidTr="00CC380A">
        <w:trPr>
          <w:trHeight w:val="357"/>
        </w:trPr>
        <w:tc>
          <w:tcPr>
            <w:tcW w:w="4248" w:type="dxa"/>
            <w:noWrap/>
            <w:hideMark/>
          </w:tcPr>
          <w:p w:rsidR="00CC380A" w:rsidRPr="0011145A" w:rsidRDefault="00CC380A" w:rsidP="00CC380A">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za nefinancijsku imovinu</w:t>
            </w:r>
          </w:p>
        </w:tc>
        <w:tc>
          <w:tcPr>
            <w:tcW w:w="1276" w:type="dxa"/>
            <w:noWrap/>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17.134,21</w:t>
            </w:r>
          </w:p>
        </w:tc>
        <w:tc>
          <w:tcPr>
            <w:tcW w:w="1417" w:type="dxa"/>
            <w:noWrap/>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140.845</w:t>
            </w:r>
          </w:p>
        </w:tc>
        <w:tc>
          <w:tcPr>
            <w:tcW w:w="1559" w:type="dxa"/>
            <w:noWrap/>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28.670,67</w:t>
            </w:r>
          </w:p>
        </w:tc>
      </w:tr>
    </w:tbl>
    <w:p w:rsidR="00CC380A" w:rsidRDefault="0011145A" w:rsidP="00717BD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4772E" w:rsidRDefault="0011145A" w:rsidP="0011145A">
      <w:pPr>
        <w:spacing w:after="0"/>
        <w:jc w:val="both"/>
        <w:rPr>
          <w:rFonts w:ascii="Times New Roman" w:hAnsi="Times New Roman" w:cs="Times New Roman"/>
          <w:sz w:val="24"/>
          <w:szCs w:val="24"/>
        </w:rPr>
      </w:pPr>
      <w:r>
        <w:rPr>
          <w:rFonts w:ascii="Times New Roman" w:hAnsi="Times New Roman" w:cs="Times New Roman"/>
          <w:sz w:val="24"/>
          <w:szCs w:val="24"/>
        </w:rPr>
        <w:t xml:space="preserve">Ukupni prihodi </w:t>
      </w:r>
      <w:r w:rsidR="0034772E">
        <w:rPr>
          <w:rFonts w:ascii="Times New Roman" w:hAnsi="Times New Roman" w:cs="Times New Roman"/>
          <w:sz w:val="24"/>
          <w:szCs w:val="24"/>
        </w:rPr>
        <w:t xml:space="preserve">poslovanja planirani su u visini od </w:t>
      </w:r>
      <w:r w:rsidR="00C62531">
        <w:rPr>
          <w:rFonts w:ascii="Times New Roman" w:hAnsi="Times New Roman" w:cs="Times New Roman"/>
          <w:sz w:val="24"/>
          <w:szCs w:val="24"/>
        </w:rPr>
        <w:t>5.244.244</w:t>
      </w:r>
      <w:r w:rsidR="00CC380A">
        <w:rPr>
          <w:rFonts w:ascii="Times New Roman" w:hAnsi="Times New Roman" w:cs="Times New Roman"/>
          <w:sz w:val="24"/>
          <w:szCs w:val="24"/>
        </w:rPr>
        <w:t>.-</w:t>
      </w:r>
      <w:r w:rsidR="0034772E">
        <w:rPr>
          <w:rFonts w:ascii="Times New Roman" w:hAnsi="Times New Roman" w:cs="Times New Roman"/>
          <w:sz w:val="24"/>
          <w:szCs w:val="24"/>
        </w:rPr>
        <w:t xml:space="preserve"> EUR</w:t>
      </w:r>
      <w:r w:rsidR="00CC380A">
        <w:rPr>
          <w:rFonts w:ascii="Times New Roman" w:hAnsi="Times New Roman" w:cs="Times New Roman"/>
          <w:sz w:val="24"/>
          <w:szCs w:val="24"/>
        </w:rPr>
        <w:t>-a</w:t>
      </w:r>
      <w:r w:rsidR="0034772E">
        <w:rPr>
          <w:rFonts w:ascii="Times New Roman" w:hAnsi="Times New Roman" w:cs="Times New Roman"/>
          <w:sz w:val="24"/>
          <w:szCs w:val="24"/>
        </w:rPr>
        <w:t xml:space="preserve">, a od toga je ostvareno </w:t>
      </w:r>
      <w:r w:rsidR="00C62531">
        <w:rPr>
          <w:rFonts w:ascii="Times New Roman" w:hAnsi="Times New Roman" w:cs="Times New Roman"/>
          <w:sz w:val="24"/>
          <w:szCs w:val="24"/>
        </w:rPr>
        <w:t>2.813.065,86</w:t>
      </w:r>
      <w:r w:rsidR="0034772E">
        <w:rPr>
          <w:rFonts w:ascii="Times New Roman" w:hAnsi="Times New Roman" w:cs="Times New Roman"/>
          <w:sz w:val="24"/>
          <w:szCs w:val="24"/>
        </w:rPr>
        <w:t xml:space="preserve"> EUR-a u izvještajnom razdoblju, I.-</w:t>
      </w:r>
      <w:r w:rsidR="00C62531">
        <w:rPr>
          <w:rFonts w:ascii="Times New Roman" w:hAnsi="Times New Roman" w:cs="Times New Roman"/>
          <w:sz w:val="24"/>
          <w:szCs w:val="24"/>
        </w:rPr>
        <w:t>VI</w:t>
      </w:r>
      <w:r w:rsidR="0034772E">
        <w:rPr>
          <w:rFonts w:ascii="Times New Roman" w:hAnsi="Times New Roman" w:cs="Times New Roman"/>
          <w:sz w:val="24"/>
          <w:szCs w:val="24"/>
        </w:rPr>
        <w:t>. 202</w:t>
      </w:r>
      <w:r w:rsidR="00C62531">
        <w:rPr>
          <w:rFonts w:ascii="Times New Roman" w:hAnsi="Times New Roman" w:cs="Times New Roman"/>
          <w:sz w:val="24"/>
          <w:szCs w:val="24"/>
        </w:rPr>
        <w:t>4</w:t>
      </w:r>
      <w:r w:rsidR="0034772E">
        <w:rPr>
          <w:rFonts w:ascii="Times New Roman" w:hAnsi="Times New Roman" w:cs="Times New Roman"/>
          <w:sz w:val="24"/>
          <w:szCs w:val="24"/>
        </w:rPr>
        <w:t xml:space="preserve"> godine.</w:t>
      </w:r>
    </w:p>
    <w:p w:rsidR="00CC380A" w:rsidRDefault="00CC380A" w:rsidP="0011145A">
      <w:pPr>
        <w:spacing w:after="0"/>
        <w:jc w:val="both"/>
        <w:rPr>
          <w:rFonts w:ascii="Times New Roman" w:hAnsi="Times New Roman" w:cs="Times New Roman"/>
          <w:sz w:val="24"/>
          <w:szCs w:val="24"/>
        </w:rPr>
      </w:pPr>
    </w:p>
    <w:p w:rsidR="0034772E" w:rsidRDefault="0034772E" w:rsidP="0034772E">
      <w:pPr>
        <w:spacing w:after="0"/>
        <w:jc w:val="both"/>
        <w:rPr>
          <w:rFonts w:ascii="Times New Roman" w:hAnsi="Times New Roman" w:cs="Times New Roman"/>
          <w:sz w:val="24"/>
          <w:szCs w:val="24"/>
        </w:rPr>
      </w:pPr>
      <w:r>
        <w:rPr>
          <w:rFonts w:ascii="Times New Roman" w:hAnsi="Times New Roman" w:cs="Times New Roman"/>
          <w:sz w:val="24"/>
          <w:szCs w:val="24"/>
        </w:rPr>
        <w:t>Strukturu prihoda čine:</w:t>
      </w:r>
    </w:p>
    <w:p w:rsidR="0034772E" w:rsidRDefault="0034772E"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w:t>
      </w:r>
      <w:r w:rsidR="005F74E2">
        <w:rPr>
          <w:rFonts w:ascii="Times New Roman" w:hAnsi="Times New Roman" w:cs="Times New Roman"/>
          <w:sz w:val="24"/>
          <w:szCs w:val="24"/>
        </w:rPr>
        <w:t xml:space="preserve">nepovratna </w:t>
      </w:r>
      <w:r w:rsidR="00603A21">
        <w:rPr>
          <w:rFonts w:ascii="Times New Roman" w:hAnsi="Times New Roman" w:cs="Times New Roman"/>
          <w:sz w:val="24"/>
          <w:szCs w:val="24"/>
        </w:rPr>
        <w:t>s</w:t>
      </w:r>
      <w:r>
        <w:rPr>
          <w:rFonts w:ascii="Times New Roman" w:hAnsi="Times New Roman" w:cs="Times New Roman"/>
          <w:sz w:val="24"/>
          <w:szCs w:val="24"/>
        </w:rPr>
        <w:t>redstva dobive</w:t>
      </w:r>
      <w:r w:rsidR="005F74E2">
        <w:rPr>
          <w:rFonts w:ascii="Times New Roman" w:hAnsi="Times New Roman" w:cs="Times New Roman"/>
          <w:sz w:val="24"/>
          <w:szCs w:val="24"/>
        </w:rPr>
        <w:t>na od projekta IAMU u visini od 10.564,86 EUR-a za potrebe istraživanja.</w:t>
      </w:r>
    </w:p>
    <w:p w:rsidR="00603A21" w:rsidRDefault="00603A21" w:rsidP="0034772E">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prijenosi između proračunskih korisnika istog proračuna temeljem prijenosa EU sredstava za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osposobljavanje </w:t>
      </w:r>
      <w:r w:rsidR="00356FE3">
        <w:rPr>
          <w:rFonts w:ascii="Times New Roman" w:hAnsi="Times New Roman" w:cs="Times New Roman"/>
          <w:sz w:val="24"/>
          <w:szCs w:val="24"/>
        </w:rPr>
        <w:t xml:space="preserve">i mobilnost </w:t>
      </w:r>
      <w:r>
        <w:rPr>
          <w:rFonts w:ascii="Times New Roman" w:hAnsi="Times New Roman" w:cs="Times New Roman"/>
          <w:sz w:val="24"/>
          <w:szCs w:val="24"/>
        </w:rPr>
        <w:t>zaposlenika</w:t>
      </w:r>
      <w:r w:rsidR="00356FE3">
        <w:rPr>
          <w:rFonts w:ascii="Times New Roman" w:hAnsi="Times New Roman" w:cs="Times New Roman"/>
          <w:sz w:val="24"/>
          <w:szCs w:val="24"/>
        </w:rPr>
        <w:t>, sredstva za isplatu nastave na studiju vojnog pomorstva, sve dobiveno od Sveučilišta u Splitu.</w:t>
      </w:r>
      <w:r>
        <w:rPr>
          <w:rFonts w:ascii="Times New Roman" w:hAnsi="Times New Roman" w:cs="Times New Roman"/>
          <w:sz w:val="24"/>
          <w:szCs w:val="24"/>
        </w:rPr>
        <w:t xml:space="preserve"> </w:t>
      </w:r>
      <w:proofErr w:type="spellStart"/>
      <w:r w:rsidR="00717BD5">
        <w:rPr>
          <w:rFonts w:ascii="Times New Roman" w:hAnsi="Times New Roman" w:cs="Times New Roman"/>
          <w:sz w:val="24"/>
          <w:szCs w:val="24"/>
        </w:rPr>
        <w:t>Erasmus</w:t>
      </w:r>
      <w:proofErr w:type="spellEnd"/>
      <w:r w:rsidR="00717BD5">
        <w:rPr>
          <w:rFonts w:ascii="Times New Roman" w:hAnsi="Times New Roman" w:cs="Times New Roman"/>
          <w:sz w:val="24"/>
          <w:szCs w:val="24"/>
        </w:rPr>
        <w:t xml:space="preserve"> putovanja ostvarena su u visini od 54.778,32 EUR-a, a 12.519,51 EUR-a je refundirano materijalnih troškova za provedbu nastave na Studiju vojnog pomorstva</w:t>
      </w:r>
    </w:p>
    <w:p w:rsidR="00603A21" w:rsidRDefault="00603A21" w:rsidP="0034772E">
      <w:pPr>
        <w:spacing w:after="0"/>
        <w:jc w:val="both"/>
        <w:rPr>
          <w:rFonts w:ascii="Times New Roman" w:hAnsi="Times New Roman" w:cs="Times New Roman"/>
          <w:sz w:val="24"/>
          <w:szCs w:val="24"/>
        </w:rPr>
      </w:pPr>
    </w:p>
    <w:p w:rsidR="00603A21" w:rsidRDefault="00603A21"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 xml:space="preserve">-43 Prihodi za posebne namjene: </w:t>
      </w:r>
      <w:r w:rsidRPr="00603A21">
        <w:rPr>
          <w:rFonts w:ascii="Times New Roman" w:hAnsi="Times New Roman" w:cs="Times New Roman"/>
          <w:sz w:val="24"/>
          <w:szCs w:val="24"/>
        </w:rPr>
        <w:t>ostvareni prihodi</w:t>
      </w:r>
      <w:r>
        <w:rPr>
          <w:rFonts w:ascii="Times New Roman" w:hAnsi="Times New Roman" w:cs="Times New Roman"/>
          <w:sz w:val="24"/>
          <w:szCs w:val="24"/>
        </w:rPr>
        <w:t xml:space="preserve"> od školarina, upisnina, razredbenih ispita i ostalih administrativnih troškova koji se odnose na studente Fakulteta. Ostvareno je cca </w:t>
      </w:r>
      <w:r w:rsidR="005F74E2">
        <w:rPr>
          <w:rFonts w:ascii="Times New Roman" w:hAnsi="Times New Roman" w:cs="Times New Roman"/>
          <w:sz w:val="24"/>
          <w:szCs w:val="24"/>
        </w:rPr>
        <w:t>0,2</w:t>
      </w:r>
      <w:r>
        <w:rPr>
          <w:rFonts w:ascii="Times New Roman" w:hAnsi="Times New Roman" w:cs="Times New Roman"/>
          <w:sz w:val="24"/>
          <w:szCs w:val="24"/>
        </w:rPr>
        <w:t xml:space="preserve">% </w:t>
      </w:r>
      <w:r w:rsidR="005F74E2">
        <w:rPr>
          <w:rFonts w:ascii="Times New Roman" w:hAnsi="Times New Roman" w:cs="Times New Roman"/>
          <w:sz w:val="24"/>
          <w:szCs w:val="24"/>
        </w:rPr>
        <w:t>manje</w:t>
      </w:r>
      <w:r>
        <w:rPr>
          <w:rFonts w:ascii="Times New Roman" w:hAnsi="Times New Roman" w:cs="Times New Roman"/>
          <w:sz w:val="24"/>
          <w:szCs w:val="24"/>
        </w:rPr>
        <w:t xml:space="preserve"> u prihoda odnosu na prethodno razdoblje, zbog </w:t>
      </w:r>
      <w:r w:rsidR="005F74E2">
        <w:rPr>
          <w:rFonts w:ascii="Times New Roman" w:hAnsi="Times New Roman" w:cs="Times New Roman"/>
          <w:sz w:val="24"/>
          <w:szCs w:val="24"/>
        </w:rPr>
        <w:t>manjeg broja upisanih studenata, a i većine naplaćenih školarina u 2023. godini.</w:t>
      </w:r>
    </w:p>
    <w:p w:rsidR="00603A21" w:rsidRDefault="00603A21" w:rsidP="0034772E">
      <w:pPr>
        <w:spacing w:after="0"/>
        <w:jc w:val="both"/>
        <w:rPr>
          <w:rFonts w:ascii="Times New Roman" w:hAnsi="Times New Roman" w:cs="Times New Roman"/>
          <w:b/>
          <w:sz w:val="24"/>
          <w:szCs w:val="24"/>
        </w:rPr>
      </w:pPr>
    </w:p>
    <w:p w:rsidR="00237982" w:rsidRDefault="00603A21" w:rsidP="0034772E">
      <w:pPr>
        <w:spacing w:after="0"/>
        <w:jc w:val="both"/>
        <w:rPr>
          <w:rFonts w:ascii="Times New Roman" w:hAnsi="Times New Roman" w:cs="Times New Roman"/>
          <w:sz w:val="24"/>
          <w:szCs w:val="24"/>
        </w:rPr>
      </w:pPr>
      <w:r>
        <w:rPr>
          <w:rFonts w:ascii="Times New Roman" w:hAnsi="Times New Roman" w:cs="Times New Roman"/>
          <w:b/>
          <w:sz w:val="24"/>
          <w:szCs w:val="24"/>
        </w:rPr>
        <w:t>-31 Vlastiti prihodi:</w:t>
      </w:r>
      <w:r w:rsidR="005F74E2">
        <w:rPr>
          <w:rFonts w:ascii="Times New Roman" w:hAnsi="Times New Roman" w:cs="Times New Roman"/>
          <w:b/>
          <w:sz w:val="24"/>
          <w:szCs w:val="24"/>
        </w:rPr>
        <w:t xml:space="preserve"> </w:t>
      </w:r>
      <w:r w:rsidR="005F74E2">
        <w:rPr>
          <w:rFonts w:ascii="Times New Roman" w:hAnsi="Times New Roman" w:cs="Times New Roman"/>
          <w:sz w:val="24"/>
          <w:szCs w:val="24"/>
        </w:rPr>
        <w:t>p</w:t>
      </w:r>
      <w:r w:rsidR="00237982">
        <w:rPr>
          <w:rFonts w:ascii="Times New Roman" w:hAnsi="Times New Roman" w:cs="Times New Roman"/>
          <w:sz w:val="24"/>
          <w:szCs w:val="24"/>
        </w:rPr>
        <w:t>rihodi od pruženih usluga uključuju prihode ostvarene od polaznika trening tečajeva za obuku pomoraca, posebnog programa obrazovanja pomoraca</w:t>
      </w:r>
      <w:r w:rsidR="005F74E2">
        <w:rPr>
          <w:rFonts w:ascii="Times New Roman" w:hAnsi="Times New Roman" w:cs="Times New Roman"/>
          <w:sz w:val="24"/>
          <w:szCs w:val="24"/>
        </w:rPr>
        <w:t xml:space="preserve">, prihodi od zakupa poslovnog prostora za najam </w:t>
      </w:r>
      <w:proofErr w:type="spellStart"/>
      <w:r w:rsidR="005F74E2">
        <w:rPr>
          <w:rFonts w:ascii="Times New Roman" w:hAnsi="Times New Roman" w:cs="Times New Roman"/>
          <w:sz w:val="24"/>
          <w:szCs w:val="24"/>
        </w:rPr>
        <w:t>samoposlužnih</w:t>
      </w:r>
      <w:proofErr w:type="spellEnd"/>
      <w:r w:rsidR="005F74E2">
        <w:rPr>
          <w:rFonts w:ascii="Times New Roman" w:hAnsi="Times New Roman" w:cs="Times New Roman"/>
          <w:sz w:val="24"/>
          <w:szCs w:val="24"/>
        </w:rPr>
        <w:t xml:space="preserve"> aparata, te prihodi od izrade studija </w:t>
      </w:r>
      <w:proofErr w:type="spellStart"/>
      <w:r w:rsidR="005F74E2">
        <w:rPr>
          <w:rFonts w:ascii="Times New Roman" w:hAnsi="Times New Roman" w:cs="Times New Roman"/>
          <w:sz w:val="24"/>
          <w:szCs w:val="24"/>
        </w:rPr>
        <w:t>tj.elaborata</w:t>
      </w:r>
      <w:proofErr w:type="spellEnd"/>
      <w:r w:rsidR="005F74E2">
        <w:rPr>
          <w:rFonts w:ascii="Times New Roman" w:hAnsi="Times New Roman" w:cs="Times New Roman"/>
          <w:sz w:val="24"/>
          <w:szCs w:val="24"/>
        </w:rPr>
        <w:t>.</w:t>
      </w:r>
      <w:r w:rsidR="00356FE3">
        <w:rPr>
          <w:rFonts w:ascii="Times New Roman" w:hAnsi="Times New Roman" w:cs="Times New Roman"/>
          <w:sz w:val="24"/>
          <w:szCs w:val="24"/>
        </w:rPr>
        <w:t xml:space="preserve"> Sveukupni prihodi temeljem vlastitog </w:t>
      </w:r>
      <w:r w:rsidR="00212881">
        <w:rPr>
          <w:rFonts w:ascii="Times New Roman" w:hAnsi="Times New Roman" w:cs="Times New Roman"/>
          <w:sz w:val="24"/>
          <w:szCs w:val="24"/>
        </w:rPr>
        <w:t>angažmana</w:t>
      </w:r>
      <w:r w:rsidR="00356FE3">
        <w:rPr>
          <w:rFonts w:ascii="Times New Roman" w:hAnsi="Times New Roman" w:cs="Times New Roman"/>
          <w:sz w:val="24"/>
          <w:szCs w:val="24"/>
        </w:rPr>
        <w:t xml:space="preserve"> na tržištu ostvareni su u cca </w:t>
      </w:r>
      <w:r w:rsidR="005F74E2">
        <w:rPr>
          <w:rFonts w:ascii="Times New Roman" w:hAnsi="Times New Roman" w:cs="Times New Roman"/>
          <w:sz w:val="24"/>
          <w:szCs w:val="24"/>
        </w:rPr>
        <w:t>18,18</w:t>
      </w:r>
      <w:r w:rsidR="00356FE3">
        <w:rPr>
          <w:rFonts w:ascii="Times New Roman" w:hAnsi="Times New Roman" w:cs="Times New Roman"/>
          <w:sz w:val="24"/>
          <w:szCs w:val="24"/>
        </w:rPr>
        <w:t xml:space="preserve">% </w:t>
      </w:r>
      <w:r w:rsidR="005F74E2">
        <w:rPr>
          <w:rFonts w:ascii="Times New Roman" w:hAnsi="Times New Roman" w:cs="Times New Roman"/>
          <w:sz w:val="24"/>
          <w:szCs w:val="24"/>
        </w:rPr>
        <w:t>većem</w:t>
      </w:r>
      <w:r w:rsidR="00212881">
        <w:rPr>
          <w:rFonts w:ascii="Times New Roman" w:hAnsi="Times New Roman" w:cs="Times New Roman"/>
          <w:sz w:val="24"/>
          <w:szCs w:val="24"/>
        </w:rPr>
        <w:t xml:space="preserve"> postotku nego prethodnog izvještajnog razdoblja.</w:t>
      </w:r>
    </w:p>
    <w:p w:rsidR="00237982" w:rsidRDefault="00237982"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-61 Donacije: </w:t>
      </w:r>
      <w:r w:rsidR="00717BD5" w:rsidRPr="00717BD5">
        <w:rPr>
          <w:rFonts w:ascii="Times New Roman" w:hAnsi="Times New Roman" w:cs="Times New Roman"/>
          <w:sz w:val="24"/>
          <w:szCs w:val="24"/>
        </w:rPr>
        <w:t>tekućih donacija nije bilo</w:t>
      </w:r>
    </w:p>
    <w:p w:rsidR="00717BD5" w:rsidRDefault="00717BD5"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-11 Opći prihodi i primici:  </w:t>
      </w:r>
      <w:r>
        <w:rPr>
          <w:rFonts w:ascii="Times New Roman" w:hAnsi="Times New Roman" w:cs="Times New Roman"/>
          <w:sz w:val="24"/>
          <w:szCs w:val="24"/>
        </w:rPr>
        <w:t>uključuje sredstva za pokriće redovnih plaća i ostalih materijalnih troškova zaposlenika koji plaću i ostale naknade primaju iz državnog proračuna.</w:t>
      </w:r>
    </w:p>
    <w:p w:rsidR="00237982" w:rsidRPr="00237982" w:rsidRDefault="00237982" w:rsidP="0034772E">
      <w:pPr>
        <w:spacing w:after="0"/>
        <w:jc w:val="both"/>
        <w:rPr>
          <w:rFonts w:ascii="Times New Roman" w:hAnsi="Times New Roman" w:cs="Times New Roman"/>
          <w:sz w:val="24"/>
          <w:szCs w:val="24"/>
        </w:rPr>
      </w:pPr>
      <w:r>
        <w:rPr>
          <w:rFonts w:ascii="Times New Roman" w:hAnsi="Times New Roman" w:cs="Times New Roman"/>
          <w:sz w:val="24"/>
          <w:szCs w:val="24"/>
        </w:rPr>
        <w:t xml:space="preserve">Također i primljena sredstva od Sveučilišta u Splitu u visini od </w:t>
      </w:r>
      <w:r w:rsidR="00C62531">
        <w:rPr>
          <w:rFonts w:ascii="Times New Roman" w:hAnsi="Times New Roman" w:cs="Times New Roman"/>
          <w:sz w:val="24"/>
          <w:szCs w:val="24"/>
        </w:rPr>
        <w:t>97.804,95 EUR</w:t>
      </w:r>
      <w:r>
        <w:rPr>
          <w:rFonts w:ascii="Times New Roman" w:hAnsi="Times New Roman" w:cs="Times New Roman"/>
          <w:sz w:val="24"/>
          <w:szCs w:val="24"/>
        </w:rPr>
        <w:t xml:space="preserve"> za </w:t>
      </w:r>
      <w:r w:rsidR="00C62531">
        <w:rPr>
          <w:rFonts w:ascii="Times New Roman" w:hAnsi="Times New Roman" w:cs="Times New Roman"/>
          <w:sz w:val="24"/>
          <w:szCs w:val="24"/>
        </w:rPr>
        <w:t>1</w:t>
      </w:r>
      <w:r w:rsidR="00212881">
        <w:rPr>
          <w:rFonts w:ascii="Times New Roman" w:hAnsi="Times New Roman" w:cs="Times New Roman"/>
          <w:sz w:val="24"/>
          <w:szCs w:val="24"/>
        </w:rPr>
        <w:t>.</w:t>
      </w:r>
      <w:r>
        <w:rPr>
          <w:rFonts w:ascii="Times New Roman" w:hAnsi="Times New Roman" w:cs="Times New Roman"/>
          <w:sz w:val="24"/>
          <w:szCs w:val="24"/>
        </w:rPr>
        <w:t xml:space="preserve"> rat</w:t>
      </w:r>
      <w:r w:rsidR="00212881">
        <w:rPr>
          <w:rFonts w:ascii="Times New Roman" w:hAnsi="Times New Roman" w:cs="Times New Roman"/>
          <w:sz w:val="24"/>
          <w:szCs w:val="24"/>
        </w:rPr>
        <w:t>a</w:t>
      </w:r>
      <w:r>
        <w:rPr>
          <w:rFonts w:ascii="Times New Roman" w:hAnsi="Times New Roman" w:cs="Times New Roman"/>
          <w:sz w:val="24"/>
          <w:szCs w:val="24"/>
        </w:rPr>
        <w:t xml:space="preserve"> programskih ugovora </w:t>
      </w:r>
      <w:r w:rsidR="00C62531">
        <w:rPr>
          <w:rFonts w:ascii="Times New Roman" w:hAnsi="Times New Roman" w:cs="Times New Roman"/>
          <w:sz w:val="24"/>
          <w:szCs w:val="24"/>
        </w:rPr>
        <w:t xml:space="preserve">'23./'24., dugovanja programskih ugovora iz </w:t>
      </w:r>
      <w:proofErr w:type="spellStart"/>
      <w:r w:rsidR="00C62531">
        <w:rPr>
          <w:rFonts w:ascii="Times New Roman" w:hAnsi="Times New Roman" w:cs="Times New Roman"/>
          <w:sz w:val="24"/>
          <w:szCs w:val="24"/>
        </w:rPr>
        <w:t>ak.god</w:t>
      </w:r>
      <w:proofErr w:type="spellEnd"/>
      <w:r w:rsidR="00C62531">
        <w:rPr>
          <w:rFonts w:ascii="Times New Roman" w:hAnsi="Times New Roman" w:cs="Times New Roman"/>
          <w:sz w:val="24"/>
          <w:szCs w:val="24"/>
        </w:rPr>
        <w:t xml:space="preserve">. ’22./’23. u visini od 16.398,08 EUR i dodatno financiranje </w:t>
      </w:r>
      <w:r w:rsidR="005F74E2">
        <w:rPr>
          <w:rFonts w:ascii="Times New Roman" w:hAnsi="Times New Roman" w:cs="Times New Roman"/>
          <w:sz w:val="24"/>
          <w:szCs w:val="24"/>
        </w:rPr>
        <w:t xml:space="preserve">programske i znanstvene djelatnosti za ’22./’23. u </w:t>
      </w:r>
      <w:r w:rsidR="005F74E2">
        <w:rPr>
          <w:rFonts w:ascii="Times New Roman" w:hAnsi="Times New Roman" w:cs="Times New Roman"/>
          <w:sz w:val="24"/>
          <w:szCs w:val="24"/>
        </w:rPr>
        <w:lastRenderedPageBreak/>
        <w:t>ukupnom iznosu od 18.709,52 EUR-a. Iz državnog proračuna je doznačeno ukupno 55.322,44 EUR-a za refundaciju isplaćenih plaća, troškova suda i odvjetnika po sudskim presudama.</w:t>
      </w:r>
    </w:p>
    <w:p w:rsidR="0034772E" w:rsidRDefault="0034772E" w:rsidP="0034772E">
      <w:pPr>
        <w:spacing w:after="0"/>
        <w:jc w:val="both"/>
        <w:rPr>
          <w:rFonts w:ascii="Times New Roman" w:hAnsi="Times New Roman" w:cs="Times New Roman"/>
          <w:sz w:val="24"/>
          <w:szCs w:val="24"/>
        </w:rPr>
      </w:pPr>
    </w:p>
    <w:p w:rsidR="00CA4ABD" w:rsidRDefault="00CA4ABD" w:rsidP="0034772E">
      <w:pPr>
        <w:spacing w:after="0"/>
        <w:jc w:val="both"/>
        <w:rPr>
          <w:rFonts w:ascii="Times New Roman" w:hAnsi="Times New Roman" w:cs="Times New Roman"/>
          <w:sz w:val="24"/>
          <w:szCs w:val="24"/>
        </w:rPr>
      </w:pPr>
    </w:p>
    <w:p w:rsidR="00BA1A01" w:rsidRDefault="00BA1A01" w:rsidP="0034772E">
      <w:pPr>
        <w:spacing w:after="0"/>
        <w:jc w:val="both"/>
        <w:rPr>
          <w:rFonts w:ascii="Times New Roman" w:hAnsi="Times New Roman" w:cs="Times New Roman"/>
          <w:b/>
          <w:sz w:val="24"/>
          <w:szCs w:val="24"/>
        </w:rPr>
      </w:pPr>
    </w:p>
    <w:p w:rsidR="00BA1A01" w:rsidRDefault="00BA1A01"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Ukupni </w:t>
      </w:r>
      <w:r w:rsidR="00687BCC">
        <w:rPr>
          <w:rFonts w:ascii="Times New Roman" w:hAnsi="Times New Roman" w:cs="Times New Roman"/>
          <w:sz w:val="24"/>
          <w:szCs w:val="24"/>
        </w:rPr>
        <w:t>rashodi</w:t>
      </w:r>
      <w:r>
        <w:rPr>
          <w:rFonts w:ascii="Times New Roman" w:hAnsi="Times New Roman" w:cs="Times New Roman"/>
          <w:sz w:val="24"/>
          <w:szCs w:val="24"/>
        </w:rPr>
        <w:t xml:space="preserve"> poslovanja planirani su u visini od </w:t>
      </w:r>
      <w:r w:rsidR="00C62531">
        <w:rPr>
          <w:rFonts w:ascii="Times New Roman" w:hAnsi="Times New Roman" w:cs="Times New Roman"/>
          <w:sz w:val="24"/>
          <w:szCs w:val="24"/>
        </w:rPr>
        <w:t>5</w:t>
      </w:r>
      <w:r w:rsidR="00B95AD7">
        <w:rPr>
          <w:rFonts w:ascii="Times New Roman" w:hAnsi="Times New Roman" w:cs="Times New Roman"/>
          <w:sz w:val="24"/>
          <w:szCs w:val="24"/>
        </w:rPr>
        <w:t>.</w:t>
      </w:r>
      <w:r w:rsidR="00C62531">
        <w:rPr>
          <w:rFonts w:ascii="Times New Roman" w:hAnsi="Times New Roman" w:cs="Times New Roman"/>
          <w:sz w:val="24"/>
          <w:szCs w:val="24"/>
        </w:rPr>
        <w:t>244.244</w:t>
      </w:r>
      <w:r>
        <w:rPr>
          <w:rFonts w:ascii="Times New Roman" w:hAnsi="Times New Roman" w:cs="Times New Roman"/>
          <w:sz w:val="24"/>
          <w:szCs w:val="24"/>
        </w:rPr>
        <w:t xml:space="preserve"> EUR, a od toga je ostvareno </w:t>
      </w:r>
      <w:r w:rsidR="00C62531">
        <w:rPr>
          <w:rFonts w:ascii="Times New Roman" w:hAnsi="Times New Roman" w:cs="Times New Roman"/>
          <w:sz w:val="24"/>
          <w:szCs w:val="24"/>
        </w:rPr>
        <w:t>2.698.758,60</w:t>
      </w:r>
      <w:r>
        <w:rPr>
          <w:rFonts w:ascii="Times New Roman" w:hAnsi="Times New Roman" w:cs="Times New Roman"/>
          <w:sz w:val="24"/>
          <w:szCs w:val="24"/>
        </w:rPr>
        <w:t xml:space="preserve"> EUR-a u izvještajnom razdoblju, I.-</w:t>
      </w:r>
      <w:r w:rsidR="00C62531">
        <w:rPr>
          <w:rFonts w:ascii="Times New Roman" w:hAnsi="Times New Roman" w:cs="Times New Roman"/>
          <w:sz w:val="24"/>
          <w:szCs w:val="24"/>
        </w:rPr>
        <w:t>VI</w:t>
      </w:r>
      <w:r>
        <w:rPr>
          <w:rFonts w:ascii="Times New Roman" w:hAnsi="Times New Roman" w:cs="Times New Roman"/>
          <w:sz w:val="24"/>
          <w:szCs w:val="24"/>
        </w:rPr>
        <w:t>. 202</w:t>
      </w:r>
      <w:r w:rsidR="00C62531">
        <w:rPr>
          <w:rFonts w:ascii="Times New Roman" w:hAnsi="Times New Roman" w:cs="Times New Roman"/>
          <w:sz w:val="24"/>
          <w:szCs w:val="24"/>
        </w:rPr>
        <w:t>4</w:t>
      </w:r>
      <w:r>
        <w:rPr>
          <w:rFonts w:ascii="Times New Roman" w:hAnsi="Times New Roman" w:cs="Times New Roman"/>
          <w:sz w:val="24"/>
          <w:szCs w:val="24"/>
        </w:rPr>
        <w:t xml:space="preserve"> godine.</w:t>
      </w:r>
    </w:p>
    <w:p w:rsidR="00212881" w:rsidRDefault="00212881" w:rsidP="00BA1A01">
      <w:pPr>
        <w:spacing w:after="0"/>
        <w:jc w:val="both"/>
        <w:rPr>
          <w:rFonts w:ascii="Times New Roman" w:hAnsi="Times New Roman" w:cs="Times New Roman"/>
          <w:sz w:val="24"/>
          <w:szCs w:val="24"/>
        </w:rPr>
      </w:pPr>
    </w:p>
    <w:p w:rsidR="00687BCC" w:rsidRDefault="00BA1A01"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Strukturu </w:t>
      </w:r>
      <w:r w:rsidR="00687BCC">
        <w:rPr>
          <w:rFonts w:ascii="Times New Roman" w:hAnsi="Times New Roman" w:cs="Times New Roman"/>
          <w:sz w:val="24"/>
          <w:szCs w:val="24"/>
        </w:rPr>
        <w:t>rashoda</w:t>
      </w:r>
      <w:r>
        <w:rPr>
          <w:rFonts w:ascii="Times New Roman" w:hAnsi="Times New Roman" w:cs="Times New Roman"/>
          <w:sz w:val="24"/>
          <w:szCs w:val="24"/>
        </w:rPr>
        <w:t xml:space="preserve"> čine:</w:t>
      </w:r>
    </w:p>
    <w:p w:rsidR="00687BCC" w:rsidRDefault="00687BCC"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t>-11 Opći prihodi i primici:</w:t>
      </w:r>
      <w:r>
        <w:rPr>
          <w:rFonts w:ascii="Times New Roman" w:hAnsi="Times New Roman" w:cs="Times New Roman"/>
          <w:b/>
          <w:sz w:val="24"/>
          <w:szCs w:val="24"/>
        </w:rPr>
        <w:t xml:space="preserve"> </w:t>
      </w:r>
      <w:r>
        <w:rPr>
          <w:rFonts w:ascii="Times New Roman" w:hAnsi="Times New Roman" w:cs="Times New Roman"/>
          <w:sz w:val="24"/>
          <w:szCs w:val="24"/>
        </w:rPr>
        <w:t>odnosi se na rashode za plaće, naknade i materijalna prava zaposlenika. Svi planirani materijalni troškovi kao što je pokriće troškova električne energije, usluge telefona i pošte, uredski materijali, zakupnine i najamnine, komunalne usluge i sl. se pokrivaju iz programskih ugovora do visine dobivenih sredstava, a razlika iz prihoda za posebne namjene.</w:t>
      </w:r>
    </w:p>
    <w:p w:rsidR="00687BCC" w:rsidRDefault="00687BCC" w:rsidP="00BA1A01">
      <w:pPr>
        <w:spacing w:after="0"/>
        <w:jc w:val="both"/>
        <w:rPr>
          <w:rFonts w:ascii="Times New Roman" w:hAnsi="Times New Roman" w:cs="Times New Roman"/>
          <w:sz w:val="24"/>
          <w:szCs w:val="24"/>
        </w:rPr>
      </w:pPr>
    </w:p>
    <w:p w:rsidR="00687BCC" w:rsidRPr="00687BCC" w:rsidRDefault="00687BCC" w:rsidP="00BA1A01">
      <w:pPr>
        <w:spacing w:after="0"/>
        <w:jc w:val="both"/>
        <w:rPr>
          <w:rFonts w:ascii="Times New Roman" w:hAnsi="Times New Roman" w:cs="Times New Roman"/>
          <w:sz w:val="24"/>
          <w:szCs w:val="24"/>
        </w:rPr>
      </w:pPr>
      <w:r>
        <w:rPr>
          <w:rFonts w:ascii="Times New Roman" w:hAnsi="Times New Roman" w:cs="Times New Roman"/>
          <w:b/>
          <w:sz w:val="24"/>
          <w:szCs w:val="24"/>
        </w:rPr>
        <w:t xml:space="preserve">-31 Vlastiti prihodi: </w:t>
      </w:r>
      <w:r w:rsidRPr="00687BCC">
        <w:rPr>
          <w:rFonts w:ascii="Times New Roman" w:hAnsi="Times New Roman" w:cs="Times New Roman"/>
          <w:sz w:val="24"/>
          <w:szCs w:val="24"/>
        </w:rPr>
        <w:t xml:space="preserve">troškovi plaća za redovan rad zaposlenika koji održavaju </w:t>
      </w:r>
      <w:r>
        <w:rPr>
          <w:rFonts w:ascii="Times New Roman" w:hAnsi="Times New Roman" w:cs="Times New Roman"/>
          <w:sz w:val="24"/>
          <w:szCs w:val="24"/>
        </w:rPr>
        <w:t>nastavu na trening centru i posebnom programu obrazovanja temeljem kojih se ostvaruju vlastiti prihodi. Isplaćeni su rashodi za prehranu svim zaposlenicima koji ostvaruju pravo na isplatu za razdoblje od 01.</w:t>
      </w:r>
      <w:r w:rsidR="00B95AD7">
        <w:rPr>
          <w:rFonts w:ascii="Times New Roman" w:hAnsi="Times New Roman" w:cs="Times New Roman"/>
          <w:sz w:val="24"/>
          <w:szCs w:val="24"/>
        </w:rPr>
        <w:t>-0</w:t>
      </w:r>
      <w:r w:rsidR="00985710">
        <w:rPr>
          <w:rFonts w:ascii="Times New Roman" w:hAnsi="Times New Roman" w:cs="Times New Roman"/>
          <w:sz w:val="24"/>
          <w:szCs w:val="24"/>
        </w:rPr>
        <w:t>3.</w:t>
      </w:r>
      <w:r w:rsidR="00B95AD7">
        <w:rPr>
          <w:rFonts w:ascii="Times New Roman" w:hAnsi="Times New Roman" w:cs="Times New Roman"/>
          <w:sz w:val="24"/>
          <w:szCs w:val="24"/>
        </w:rPr>
        <w:t>/</w:t>
      </w:r>
      <w:r>
        <w:rPr>
          <w:rFonts w:ascii="Times New Roman" w:hAnsi="Times New Roman" w:cs="Times New Roman"/>
          <w:sz w:val="24"/>
          <w:szCs w:val="24"/>
        </w:rPr>
        <w:t>2</w:t>
      </w:r>
      <w:r w:rsidR="00985710">
        <w:rPr>
          <w:rFonts w:ascii="Times New Roman" w:hAnsi="Times New Roman" w:cs="Times New Roman"/>
          <w:sz w:val="24"/>
          <w:szCs w:val="24"/>
        </w:rPr>
        <w:t>4</w:t>
      </w:r>
      <w:r>
        <w:rPr>
          <w:rFonts w:ascii="Times New Roman" w:hAnsi="Times New Roman" w:cs="Times New Roman"/>
          <w:sz w:val="24"/>
          <w:szCs w:val="24"/>
        </w:rPr>
        <w:t xml:space="preserve">. godine. Temeljem javnog natječaja dane su donacije </w:t>
      </w:r>
      <w:r w:rsidR="00985710">
        <w:rPr>
          <w:rFonts w:ascii="Times New Roman" w:hAnsi="Times New Roman" w:cs="Times New Roman"/>
          <w:sz w:val="24"/>
          <w:szCs w:val="24"/>
        </w:rPr>
        <w:t>PŠRD „Poljud“</w:t>
      </w:r>
      <w:r>
        <w:rPr>
          <w:rFonts w:ascii="Times New Roman" w:hAnsi="Times New Roman" w:cs="Times New Roman"/>
          <w:sz w:val="24"/>
          <w:szCs w:val="24"/>
        </w:rPr>
        <w:t xml:space="preserve">, </w:t>
      </w:r>
      <w:r w:rsidR="00196667">
        <w:rPr>
          <w:rFonts w:ascii="Times New Roman" w:hAnsi="Times New Roman" w:cs="Times New Roman"/>
          <w:sz w:val="24"/>
          <w:szCs w:val="24"/>
        </w:rPr>
        <w:t>U</w:t>
      </w:r>
      <w:r>
        <w:rPr>
          <w:rFonts w:ascii="Times New Roman" w:hAnsi="Times New Roman" w:cs="Times New Roman"/>
          <w:sz w:val="24"/>
          <w:szCs w:val="24"/>
        </w:rPr>
        <w:t xml:space="preserve">drugama pomorskih kapetana i pomorskih strojara, </w:t>
      </w:r>
      <w:r w:rsidR="00985710">
        <w:rPr>
          <w:rFonts w:ascii="Times New Roman" w:hAnsi="Times New Roman" w:cs="Times New Roman"/>
          <w:sz w:val="24"/>
          <w:szCs w:val="24"/>
        </w:rPr>
        <w:t>Udruga za autizam 365</w:t>
      </w:r>
      <w:r>
        <w:rPr>
          <w:rFonts w:ascii="Times New Roman" w:hAnsi="Times New Roman" w:cs="Times New Roman"/>
          <w:sz w:val="24"/>
          <w:szCs w:val="24"/>
        </w:rPr>
        <w:t xml:space="preserve"> u ukupnom iznosu od =3.</w:t>
      </w:r>
      <w:r w:rsidR="00985710">
        <w:rPr>
          <w:rFonts w:ascii="Times New Roman" w:hAnsi="Times New Roman" w:cs="Times New Roman"/>
          <w:sz w:val="24"/>
          <w:szCs w:val="24"/>
        </w:rPr>
        <w:t>500</w:t>
      </w:r>
      <w:r>
        <w:rPr>
          <w:rFonts w:ascii="Times New Roman" w:hAnsi="Times New Roman" w:cs="Times New Roman"/>
          <w:sz w:val="24"/>
          <w:szCs w:val="24"/>
        </w:rPr>
        <w:t>.-. EUR</w:t>
      </w:r>
    </w:p>
    <w:p w:rsidR="0034772E" w:rsidRDefault="0034772E" w:rsidP="00BA1A01">
      <w:pPr>
        <w:spacing w:after="0"/>
        <w:jc w:val="both"/>
        <w:rPr>
          <w:rFonts w:ascii="Times New Roman" w:hAnsi="Times New Roman" w:cs="Times New Roman"/>
          <w:sz w:val="24"/>
          <w:szCs w:val="24"/>
        </w:rPr>
      </w:pPr>
    </w:p>
    <w:p w:rsidR="007E134A" w:rsidRDefault="007E134A"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-43 Prihodi za posebne namjene:</w:t>
      </w:r>
      <w:r>
        <w:rPr>
          <w:rFonts w:ascii="Times New Roman" w:hAnsi="Times New Roman" w:cs="Times New Roman"/>
          <w:b/>
          <w:sz w:val="24"/>
          <w:szCs w:val="24"/>
        </w:rPr>
        <w:t xml:space="preserve"> </w:t>
      </w:r>
      <w:r>
        <w:rPr>
          <w:rFonts w:ascii="Times New Roman" w:hAnsi="Times New Roman" w:cs="Times New Roman"/>
          <w:sz w:val="24"/>
          <w:szCs w:val="24"/>
        </w:rPr>
        <w:t>troškovi plaća za redovan rad zaposlenicima koji plaću ne primaju iz sredstava državnog proračuna, a neophodni su za rad Fakulteta. Plaća za prekovremeni isplaćene zbog povećanog obima posla svih zaposlenika kod organizacije novih događanja na Fakultetu.</w:t>
      </w:r>
    </w:p>
    <w:p w:rsidR="003D6477" w:rsidRDefault="007E134A"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Povećani su i troškovi službenih putovanja, ali prethodna godina je teško usporediva jer su još vladali uvjeti vezani za </w:t>
      </w:r>
      <w:proofErr w:type="spellStart"/>
      <w:r>
        <w:rPr>
          <w:rFonts w:ascii="Times New Roman" w:hAnsi="Times New Roman" w:cs="Times New Roman"/>
          <w:sz w:val="24"/>
          <w:szCs w:val="24"/>
        </w:rPr>
        <w:t>Corona</w:t>
      </w:r>
      <w:proofErr w:type="spellEnd"/>
      <w:r>
        <w:rPr>
          <w:rFonts w:ascii="Times New Roman" w:hAnsi="Times New Roman" w:cs="Times New Roman"/>
          <w:sz w:val="24"/>
          <w:szCs w:val="24"/>
        </w:rPr>
        <w:t xml:space="preserve"> virus. Povećani su materijalni rashodi, kao što su troškovi koji se odnose na električnu energiju</w:t>
      </w:r>
      <w:r w:rsidR="0006752F">
        <w:rPr>
          <w:rFonts w:ascii="Times New Roman" w:hAnsi="Times New Roman" w:cs="Times New Roman"/>
          <w:sz w:val="24"/>
          <w:szCs w:val="24"/>
        </w:rPr>
        <w:t>, te na materijal za tekuće i investicijsko održavanje.</w:t>
      </w:r>
      <w:r>
        <w:rPr>
          <w:rFonts w:ascii="Times New Roman" w:hAnsi="Times New Roman" w:cs="Times New Roman"/>
          <w:sz w:val="24"/>
          <w:szCs w:val="24"/>
        </w:rPr>
        <w:t xml:space="preserve"> Odstupanje u odnosu na planirani financijski plan i na izvršenje prethodne godine je za nabavu službene odjeće i obuće. Bilo je neophodno nabaviti nov</w:t>
      </w:r>
      <w:r w:rsidR="00985710">
        <w:rPr>
          <w:rFonts w:ascii="Times New Roman" w:hAnsi="Times New Roman" w:cs="Times New Roman"/>
          <w:sz w:val="24"/>
          <w:szCs w:val="24"/>
        </w:rPr>
        <w:t>u radnu odjeću za spremačice</w:t>
      </w:r>
      <w:r>
        <w:rPr>
          <w:rFonts w:ascii="Times New Roman" w:hAnsi="Times New Roman" w:cs="Times New Roman"/>
          <w:sz w:val="24"/>
          <w:szCs w:val="24"/>
        </w:rPr>
        <w:t xml:space="preserve"> s logom Fakulteta.</w:t>
      </w:r>
    </w:p>
    <w:p w:rsidR="00C7065E" w:rsidRDefault="003D6477" w:rsidP="00BA1A01">
      <w:pPr>
        <w:spacing w:after="0"/>
        <w:jc w:val="both"/>
        <w:rPr>
          <w:rFonts w:ascii="Times New Roman" w:hAnsi="Times New Roman" w:cs="Times New Roman"/>
          <w:sz w:val="24"/>
          <w:szCs w:val="24"/>
        </w:rPr>
      </w:pPr>
      <w:r>
        <w:rPr>
          <w:rFonts w:ascii="Times New Roman" w:hAnsi="Times New Roman" w:cs="Times New Roman"/>
          <w:sz w:val="24"/>
          <w:szCs w:val="24"/>
        </w:rPr>
        <w:t>Ostali nespomenuti rashodi poslovanja su znatno uvećani zbog novog evidentiranja troškova koji se doznačuju Sveučilištu za rad Studentskog zbora i za Studentske projekte</w:t>
      </w:r>
      <w:r w:rsidR="00985710">
        <w:rPr>
          <w:rFonts w:ascii="Times New Roman" w:hAnsi="Times New Roman" w:cs="Times New Roman"/>
          <w:sz w:val="24"/>
          <w:szCs w:val="24"/>
        </w:rPr>
        <w:t>.</w:t>
      </w:r>
    </w:p>
    <w:p w:rsidR="00C7065E"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Zbog nepredviđenog kvara na sustavima klimatizacije u server salama bilo je neophodno nabaviti nove klima uređaje. Trošak je evidentiran na računu opreme za održavanje i zaštitu.</w:t>
      </w:r>
    </w:p>
    <w:p w:rsidR="00C7065E" w:rsidRDefault="00985710" w:rsidP="00BA1A01">
      <w:pPr>
        <w:spacing w:after="0"/>
        <w:jc w:val="both"/>
        <w:rPr>
          <w:rFonts w:ascii="Times New Roman" w:hAnsi="Times New Roman" w:cs="Times New Roman"/>
          <w:sz w:val="24"/>
          <w:szCs w:val="24"/>
        </w:rPr>
      </w:pPr>
      <w:r>
        <w:rPr>
          <w:rFonts w:ascii="Times New Roman" w:hAnsi="Times New Roman" w:cs="Times New Roman"/>
          <w:sz w:val="24"/>
          <w:szCs w:val="24"/>
        </w:rPr>
        <w:t>Neznatno je i ulaganje u uredsku opremu, nabavkom raznog namještaja.</w:t>
      </w:r>
    </w:p>
    <w:p w:rsidR="007E134A"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7065E" w:rsidRDefault="00C7065E"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uglavnom se odnose na troškove službenih putovanja iz projekata i to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osposobljavanja zaposlenika Fakulteta.</w:t>
      </w:r>
    </w:p>
    <w:p w:rsidR="00C7065E" w:rsidRDefault="00C7065E" w:rsidP="00BA1A01">
      <w:pPr>
        <w:spacing w:after="0"/>
        <w:jc w:val="both"/>
        <w:rPr>
          <w:rFonts w:ascii="Times New Roman" w:hAnsi="Times New Roman" w:cs="Times New Roman"/>
          <w:b/>
          <w:sz w:val="24"/>
          <w:szCs w:val="24"/>
        </w:rPr>
      </w:pPr>
    </w:p>
    <w:p w:rsidR="00C7065E" w:rsidRDefault="00C7065E"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t>-61 Donacije:</w:t>
      </w:r>
      <w:r>
        <w:rPr>
          <w:rFonts w:ascii="Times New Roman" w:hAnsi="Times New Roman" w:cs="Times New Roman"/>
          <w:b/>
          <w:sz w:val="24"/>
          <w:szCs w:val="24"/>
        </w:rPr>
        <w:t xml:space="preserve"> </w:t>
      </w:r>
      <w:r w:rsidR="00985710">
        <w:rPr>
          <w:rFonts w:ascii="Times New Roman" w:hAnsi="Times New Roman" w:cs="Times New Roman"/>
          <w:sz w:val="24"/>
          <w:szCs w:val="24"/>
        </w:rPr>
        <w:t>rashode iz ovog izvora financiranja nismo imali</w:t>
      </w:r>
    </w:p>
    <w:p w:rsidR="0012737F" w:rsidRDefault="0012737F" w:rsidP="00BA1A01">
      <w:pPr>
        <w:spacing w:after="0"/>
        <w:jc w:val="both"/>
        <w:rPr>
          <w:rFonts w:ascii="Times New Roman" w:hAnsi="Times New Roman" w:cs="Times New Roman"/>
          <w:sz w:val="24"/>
          <w:szCs w:val="24"/>
        </w:rPr>
      </w:pPr>
    </w:p>
    <w:p w:rsidR="0012737F" w:rsidRDefault="0012737F" w:rsidP="00BA1A01">
      <w:pPr>
        <w:spacing w:after="0"/>
        <w:jc w:val="both"/>
        <w:rPr>
          <w:rFonts w:ascii="Times New Roman" w:hAnsi="Times New Roman" w:cs="Times New Roman"/>
          <w:sz w:val="24"/>
          <w:szCs w:val="24"/>
        </w:rPr>
      </w:pPr>
    </w:p>
    <w:p w:rsidR="00985710" w:rsidRDefault="00985710" w:rsidP="00BA1A01">
      <w:pPr>
        <w:spacing w:after="0"/>
        <w:jc w:val="both"/>
        <w:rPr>
          <w:rFonts w:ascii="Times New Roman" w:hAnsi="Times New Roman" w:cs="Times New Roman"/>
          <w:sz w:val="24"/>
          <w:szCs w:val="24"/>
        </w:rPr>
      </w:pPr>
    </w:p>
    <w:p w:rsidR="00985710" w:rsidRDefault="00985710" w:rsidP="00BA1A01">
      <w:pPr>
        <w:spacing w:after="0"/>
        <w:jc w:val="both"/>
        <w:rPr>
          <w:rFonts w:ascii="Times New Roman" w:hAnsi="Times New Roman" w:cs="Times New Roman"/>
          <w:sz w:val="24"/>
          <w:szCs w:val="24"/>
        </w:rPr>
      </w:pPr>
    </w:p>
    <w:p w:rsidR="00985710" w:rsidRDefault="00985710" w:rsidP="00BA1A01">
      <w:pPr>
        <w:spacing w:after="0"/>
        <w:jc w:val="both"/>
        <w:rPr>
          <w:rFonts w:ascii="Times New Roman" w:hAnsi="Times New Roman" w:cs="Times New Roman"/>
          <w:sz w:val="24"/>
          <w:szCs w:val="24"/>
        </w:rPr>
      </w:pPr>
    </w:p>
    <w:p w:rsidR="00E14985" w:rsidRDefault="0012737F" w:rsidP="00BA1A01">
      <w:pPr>
        <w:spacing w:after="0"/>
        <w:jc w:val="both"/>
        <w:rPr>
          <w:rFonts w:ascii="Times New Roman" w:hAnsi="Times New Roman" w:cs="Times New Roman"/>
          <w:b/>
          <w:sz w:val="24"/>
          <w:szCs w:val="24"/>
        </w:rPr>
      </w:pPr>
      <w:r w:rsidRPr="00E14985">
        <w:rPr>
          <w:rFonts w:ascii="Times New Roman" w:hAnsi="Times New Roman" w:cs="Times New Roman"/>
          <w:b/>
          <w:sz w:val="24"/>
          <w:szCs w:val="24"/>
        </w:rPr>
        <w:lastRenderedPageBreak/>
        <w:t xml:space="preserve"> Račun financiranja</w:t>
      </w:r>
      <w:r w:rsidR="00E14985">
        <w:rPr>
          <w:rFonts w:ascii="Times New Roman" w:hAnsi="Times New Roman" w:cs="Times New Roman"/>
          <w:b/>
          <w:sz w:val="24"/>
          <w:szCs w:val="24"/>
        </w:rPr>
        <w:t xml:space="preserve"> </w:t>
      </w:r>
    </w:p>
    <w:p w:rsidR="0012737F" w:rsidRDefault="00E14985" w:rsidP="00BA1A0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(prijenos sredstava iz prethodne godine i prijenosa sredstava u sljedeću godinu)</w:t>
      </w:r>
    </w:p>
    <w:p w:rsidR="00DF236C" w:rsidRDefault="00DF236C" w:rsidP="00BA1A01">
      <w:pPr>
        <w:spacing w:after="0"/>
        <w:jc w:val="both"/>
        <w:rPr>
          <w:rFonts w:ascii="Times New Roman" w:hAnsi="Times New Roman" w:cs="Times New Roman"/>
          <w:b/>
          <w:sz w:val="24"/>
          <w:szCs w:val="24"/>
        </w:rPr>
      </w:pP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Preneseni višak prihoda iz 2023 godine:</w:t>
      </w:r>
    </w:p>
    <w:p w:rsidR="0006752F" w:rsidRDefault="0006752F" w:rsidP="0006752F">
      <w:pPr>
        <w:spacing w:after="0"/>
        <w:jc w:val="both"/>
      </w:pPr>
    </w:p>
    <w:tbl>
      <w:tblPr>
        <w:tblStyle w:val="TableGrid"/>
        <w:tblW w:w="0" w:type="auto"/>
        <w:tblInd w:w="-5" w:type="dxa"/>
        <w:tblLook w:val="04A0" w:firstRow="1" w:lastRow="0" w:firstColumn="1" w:lastColumn="0" w:noHBand="0" w:noVBand="1"/>
      </w:tblPr>
      <w:tblGrid>
        <w:gridCol w:w="4962"/>
        <w:gridCol w:w="1837"/>
      </w:tblGrid>
      <w:tr w:rsidR="0006752F" w:rsidTr="00723BFF">
        <w:tc>
          <w:tcPr>
            <w:tcW w:w="4962" w:type="dxa"/>
          </w:tcPr>
          <w:p w:rsidR="0006752F" w:rsidRDefault="0006752F" w:rsidP="00723BFF">
            <w:r>
              <w:t xml:space="preserve">Izvor 11: opći prihodi i primici  - samo znanstvena djelatnost                                                                                    </w:t>
            </w:r>
          </w:p>
        </w:tc>
        <w:tc>
          <w:tcPr>
            <w:tcW w:w="1837" w:type="dxa"/>
          </w:tcPr>
          <w:p w:rsidR="0006752F" w:rsidRDefault="0006752F" w:rsidP="00723BFF">
            <w:pPr>
              <w:jc w:val="right"/>
            </w:pPr>
            <w:r>
              <w:t>1</w:t>
            </w:r>
            <w:r w:rsidR="003873DF">
              <w:t>60</w:t>
            </w:r>
            <w:r>
              <w:t>.665 EUR</w:t>
            </w:r>
          </w:p>
        </w:tc>
      </w:tr>
      <w:tr w:rsidR="0006752F" w:rsidTr="00723BFF">
        <w:tc>
          <w:tcPr>
            <w:tcW w:w="4962" w:type="dxa"/>
          </w:tcPr>
          <w:p w:rsidR="0006752F" w:rsidRDefault="0006752F" w:rsidP="00723BFF">
            <w:r>
              <w:t xml:space="preserve">Izvor 31: vlastiti prihodi                                                                                                       </w:t>
            </w:r>
          </w:p>
        </w:tc>
        <w:tc>
          <w:tcPr>
            <w:tcW w:w="1837" w:type="dxa"/>
          </w:tcPr>
          <w:p w:rsidR="0006752F" w:rsidRDefault="0006752F" w:rsidP="00723BFF">
            <w:pPr>
              <w:jc w:val="right"/>
              <w:rPr>
                <w:rFonts w:ascii="Calibri" w:eastAsia="Times New Roman" w:hAnsi="Calibri" w:cs="Calibri"/>
                <w:color w:val="000000"/>
                <w:lang w:eastAsia="hr-HR"/>
              </w:rPr>
            </w:pPr>
            <w:r>
              <w:rPr>
                <w:rFonts w:ascii="Calibri" w:eastAsia="Times New Roman" w:hAnsi="Calibri" w:cs="Calibri"/>
                <w:color w:val="000000"/>
                <w:lang w:eastAsia="hr-HR"/>
              </w:rPr>
              <w:t>192.956 EUR</w:t>
            </w:r>
          </w:p>
        </w:tc>
      </w:tr>
      <w:tr w:rsidR="0006752F" w:rsidTr="00723BFF">
        <w:tc>
          <w:tcPr>
            <w:tcW w:w="4962" w:type="dxa"/>
          </w:tcPr>
          <w:p w:rsidR="0006752F" w:rsidRDefault="0006752F" w:rsidP="00723BFF">
            <w:r>
              <w:t xml:space="preserve">Izvor 43: ostali prihodi za posebne namjene                                                                   </w:t>
            </w:r>
          </w:p>
        </w:tc>
        <w:tc>
          <w:tcPr>
            <w:tcW w:w="1837" w:type="dxa"/>
          </w:tcPr>
          <w:p w:rsidR="0006752F" w:rsidRDefault="0006752F" w:rsidP="00723BFF">
            <w:pPr>
              <w:jc w:val="right"/>
            </w:pPr>
            <w:r>
              <w:t>38.754 EUR</w:t>
            </w:r>
          </w:p>
        </w:tc>
      </w:tr>
      <w:tr w:rsidR="0006752F" w:rsidTr="00723BFF">
        <w:tc>
          <w:tcPr>
            <w:tcW w:w="4962" w:type="dxa"/>
          </w:tcPr>
          <w:p w:rsidR="0006752F" w:rsidRDefault="0006752F" w:rsidP="00723BFF">
            <w:r>
              <w:t>Izvor 52</w:t>
            </w:r>
            <w:r w:rsidRPr="00AF59BC">
              <w:t xml:space="preserve">: </w:t>
            </w:r>
            <w:r>
              <w:t>ostale pomoći i darovnice</w:t>
            </w:r>
            <w:r w:rsidRPr="00AF59BC">
              <w:t xml:space="preserve">                    </w:t>
            </w:r>
            <w:r>
              <w:t xml:space="preserve"> </w:t>
            </w:r>
            <w:r w:rsidRPr="00AF59BC">
              <w:t xml:space="preserve">                      </w:t>
            </w:r>
            <w:r>
              <w:t xml:space="preserve">                              </w:t>
            </w:r>
            <w:r w:rsidRPr="00AF59BC">
              <w:t xml:space="preserve">  </w:t>
            </w:r>
          </w:p>
        </w:tc>
        <w:tc>
          <w:tcPr>
            <w:tcW w:w="1837" w:type="dxa"/>
          </w:tcPr>
          <w:p w:rsidR="0006752F" w:rsidRDefault="0006752F" w:rsidP="00723BFF">
            <w:pPr>
              <w:jc w:val="right"/>
            </w:pPr>
            <w:r>
              <w:t>335.107 EUR</w:t>
            </w:r>
          </w:p>
        </w:tc>
      </w:tr>
      <w:tr w:rsidR="0006752F" w:rsidTr="00723BFF">
        <w:tc>
          <w:tcPr>
            <w:tcW w:w="4962" w:type="dxa"/>
          </w:tcPr>
          <w:p w:rsidR="0006752F" w:rsidRDefault="0006752F" w:rsidP="00723BFF">
            <w:r>
              <w:t xml:space="preserve">Izvor 61: donacije                                                                                                          </w:t>
            </w:r>
          </w:p>
        </w:tc>
        <w:tc>
          <w:tcPr>
            <w:tcW w:w="1837" w:type="dxa"/>
          </w:tcPr>
          <w:p w:rsidR="0006752F" w:rsidRDefault="0006752F" w:rsidP="00723BFF">
            <w:pPr>
              <w:jc w:val="right"/>
            </w:pPr>
            <w:r>
              <w:t>22.447 EUR</w:t>
            </w:r>
          </w:p>
        </w:tc>
      </w:tr>
    </w:tbl>
    <w:p w:rsidR="00900A81" w:rsidRDefault="00900A81" w:rsidP="00900A81">
      <w:pPr>
        <w:spacing w:after="0"/>
        <w:jc w:val="both"/>
        <w:rPr>
          <w:rFonts w:ascii="Times New Roman" w:hAnsi="Times New Roman" w:cs="Times New Roman"/>
          <w:sz w:val="24"/>
          <w:szCs w:val="24"/>
        </w:rPr>
      </w:pPr>
    </w:p>
    <w:p w:rsidR="0006752F" w:rsidRDefault="0006752F" w:rsidP="0006752F">
      <w:pPr>
        <w:spacing w:after="0"/>
        <w:jc w:val="both"/>
        <w:rPr>
          <w:rFonts w:ascii="Times New Roman" w:hAnsi="Times New Roman" w:cs="Times New Roman"/>
          <w:sz w:val="24"/>
          <w:szCs w:val="24"/>
        </w:rPr>
      </w:pP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Preneseni višak prihoda iz prethodnih godina utrošit će se za moguće pokriće troškova poslovanja budućih razdoblje, uzrokovanih nepredviđenim promjenama na tržištu.</w:t>
      </w: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 xml:space="preserve">U </w:t>
      </w:r>
      <w:r w:rsidR="003873DF">
        <w:rPr>
          <w:rFonts w:ascii="Times New Roman" w:hAnsi="Times New Roman" w:cs="Times New Roman"/>
          <w:sz w:val="24"/>
          <w:szCs w:val="24"/>
        </w:rPr>
        <w:t>srpnju</w:t>
      </w:r>
      <w:r>
        <w:rPr>
          <w:rFonts w:ascii="Times New Roman" w:hAnsi="Times New Roman" w:cs="Times New Roman"/>
          <w:sz w:val="24"/>
          <w:szCs w:val="24"/>
        </w:rPr>
        <w:t xml:space="preserve"> 202</w:t>
      </w:r>
      <w:r w:rsidR="003873DF">
        <w:rPr>
          <w:rFonts w:ascii="Times New Roman" w:hAnsi="Times New Roman" w:cs="Times New Roman"/>
          <w:sz w:val="24"/>
          <w:szCs w:val="24"/>
        </w:rPr>
        <w:t>4</w:t>
      </w:r>
      <w:r>
        <w:rPr>
          <w:rFonts w:ascii="Times New Roman" w:hAnsi="Times New Roman" w:cs="Times New Roman"/>
          <w:sz w:val="24"/>
          <w:szCs w:val="24"/>
        </w:rPr>
        <w:t xml:space="preserve"> većina sredstava iz Izvora 43 i 31 prenesena iz prethodnih razdoblja iste godine utroš</w:t>
      </w:r>
      <w:r w:rsidR="003873DF">
        <w:rPr>
          <w:rFonts w:ascii="Times New Roman" w:hAnsi="Times New Roman" w:cs="Times New Roman"/>
          <w:sz w:val="24"/>
          <w:szCs w:val="24"/>
        </w:rPr>
        <w:t>it</w:t>
      </w:r>
      <w:r>
        <w:rPr>
          <w:rFonts w:ascii="Times New Roman" w:hAnsi="Times New Roman" w:cs="Times New Roman"/>
          <w:sz w:val="24"/>
          <w:szCs w:val="24"/>
        </w:rPr>
        <w:t xml:space="preserve"> </w:t>
      </w:r>
      <w:r w:rsidR="003873DF">
        <w:rPr>
          <w:rFonts w:ascii="Times New Roman" w:hAnsi="Times New Roman" w:cs="Times New Roman"/>
          <w:sz w:val="24"/>
          <w:szCs w:val="24"/>
        </w:rPr>
        <w:t>će se na</w:t>
      </w:r>
      <w:r>
        <w:rPr>
          <w:rFonts w:ascii="Times New Roman" w:hAnsi="Times New Roman" w:cs="Times New Roman"/>
          <w:sz w:val="24"/>
          <w:szCs w:val="24"/>
        </w:rPr>
        <w:t xml:space="preserve"> pokriće isplate </w:t>
      </w:r>
      <w:proofErr w:type="spellStart"/>
      <w:r>
        <w:rPr>
          <w:rFonts w:ascii="Times New Roman" w:hAnsi="Times New Roman" w:cs="Times New Roman"/>
          <w:sz w:val="24"/>
          <w:szCs w:val="24"/>
        </w:rPr>
        <w:t>prekonormnog</w:t>
      </w:r>
      <w:proofErr w:type="spellEnd"/>
      <w:r>
        <w:rPr>
          <w:rFonts w:ascii="Times New Roman" w:hAnsi="Times New Roman" w:cs="Times New Roman"/>
          <w:sz w:val="24"/>
          <w:szCs w:val="24"/>
        </w:rPr>
        <w:t xml:space="preserve"> rada zaposlenika, isplata održavanja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nastave, isplata održavanja nastave na posebnom programu obrazovanja itd.</w:t>
      </w:r>
    </w:p>
    <w:p w:rsidR="0006752F" w:rsidRDefault="0006752F" w:rsidP="0006752F">
      <w:pPr>
        <w:spacing w:after="0"/>
        <w:jc w:val="both"/>
        <w:rPr>
          <w:rFonts w:ascii="Times New Roman" w:hAnsi="Times New Roman" w:cs="Times New Roman"/>
          <w:sz w:val="24"/>
          <w:szCs w:val="24"/>
        </w:rPr>
      </w:pPr>
      <w:r>
        <w:rPr>
          <w:rFonts w:ascii="Times New Roman" w:hAnsi="Times New Roman" w:cs="Times New Roman"/>
          <w:sz w:val="24"/>
          <w:szCs w:val="24"/>
        </w:rPr>
        <w:t xml:space="preserve">Također utrošeno je i na isplatu sudskih presuda i ostalih vezanih troškova (odvjetnica, trošak suda, zatezne kamate) </w:t>
      </w:r>
      <w:r w:rsidR="003873DF">
        <w:rPr>
          <w:rFonts w:ascii="Times New Roman" w:hAnsi="Times New Roman" w:cs="Times New Roman"/>
          <w:sz w:val="24"/>
          <w:szCs w:val="24"/>
        </w:rPr>
        <w:t>za preostale dvije sudske tužbe</w:t>
      </w:r>
    </w:p>
    <w:p w:rsidR="0006752F" w:rsidRDefault="0006752F" w:rsidP="00BA1A01">
      <w:pPr>
        <w:spacing w:after="0"/>
        <w:jc w:val="both"/>
        <w:rPr>
          <w:rFonts w:ascii="Times New Roman" w:hAnsi="Times New Roman" w:cs="Times New Roman"/>
          <w:sz w:val="24"/>
          <w:szCs w:val="24"/>
        </w:rPr>
      </w:pPr>
      <w:r>
        <w:rPr>
          <w:rFonts w:ascii="Times New Roman" w:hAnsi="Times New Roman" w:cs="Times New Roman"/>
          <w:sz w:val="24"/>
          <w:szCs w:val="24"/>
        </w:rPr>
        <w:t>Za više od 200% su prenesena sredstva u 2024 iz izvora financiranja 011, razlog je u nov</w:t>
      </w:r>
      <w:r w:rsidR="008262B2">
        <w:rPr>
          <w:rFonts w:ascii="Times New Roman" w:hAnsi="Times New Roman" w:cs="Times New Roman"/>
          <w:sz w:val="24"/>
          <w:szCs w:val="24"/>
        </w:rPr>
        <w:t>o donesenoj</w:t>
      </w:r>
      <w:r>
        <w:rPr>
          <w:rFonts w:ascii="Times New Roman" w:hAnsi="Times New Roman" w:cs="Times New Roman"/>
          <w:sz w:val="24"/>
          <w:szCs w:val="24"/>
        </w:rPr>
        <w:t xml:space="preserve"> Odluci o raspodjeli sredstava od znanstvene djelatnosti</w:t>
      </w:r>
      <w:r w:rsidR="008262B2">
        <w:rPr>
          <w:rFonts w:ascii="Times New Roman" w:hAnsi="Times New Roman" w:cs="Times New Roman"/>
          <w:sz w:val="24"/>
          <w:szCs w:val="24"/>
        </w:rPr>
        <w:t xml:space="preserve"> po tzv. glavarinama zaposlenika. Kako je Odluka donesena krajem 2023 godine zaposlenici nisu trošili svoja sredstva te se sredstva prenose u novu godinu.</w:t>
      </w:r>
    </w:p>
    <w:p w:rsidR="008262B2" w:rsidRDefault="008262B2"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Uvećanje je vidljivo i na izvoru financiranja 052. Doznačena su završna sredstva za projekte Wracks4All, </w:t>
      </w:r>
      <w:proofErr w:type="spellStart"/>
      <w:r>
        <w:rPr>
          <w:rFonts w:ascii="Times New Roman" w:hAnsi="Times New Roman" w:cs="Times New Roman"/>
          <w:sz w:val="24"/>
          <w:szCs w:val="24"/>
        </w:rPr>
        <w:t>Bluewbc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Maremathics</w:t>
      </w:r>
      <w:proofErr w:type="spellEnd"/>
      <w:r>
        <w:rPr>
          <w:rFonts w:ascii="Times New Roman" w:hAnsi="Times New Roman" w:cs="Times New Roman"/>
          <w:sz w:val="24"/>
          <w:szCs w:val="24"/>
        </w:rPr>
        <w:t>, trošenje sredstava po navedenim projektima nije bilo moguće jer su Projekti već završeni.</w:t>
      </w: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b/>
          <w:sz w:val="24"/>
          <w:szCs w:val="24"/>
        </w:rPr>
      </w:pPr>
      <w:r w:rsidRPr="00DD562C">
        <w:rPr>
          <w:rFonts w:ascii="Times New Roman" w:hAnsi="Times New Roman" w:cs="Times New Roman"/>
          <w:b/>
          <w:sz w:val="24"/>
          <w:szCs w:val="24"/>
        </w:rPr>
        <w:t>II. Posebni dio</w:t>
      </w:r>
    </w:p>
    <w:p w:rsidR="00DD562C" w:rsidRDefault="00DD562C" w:rsidP="00BA1A01">
      <w:pPr>
        <w:spacing w:after="0"/>
        <w:jc w:val="both"/>
        <w:rPr>
          <w:rFonts w:ascii="Times New Roman" w:hAnsi="Times New Roman" w:cs="Times New Roman"/>
          <w:b/>
          <w:sz w:val="24"/>
          <w:szCs w:val="24"/>
        </w:rPr>
      </w:pPr>
    </w:p>
    <w:p w:rsidR="00DD562C" w:rsidRDefault="00DD562C" w:rsidP="00BA1A01">
      <w:pPr>
        <w:spacing w:after="0"/>
        <w:jc w:val="both"/>
        <w:rPr>
          <w:rFonts w:ascii="Times New Roman" w:hAnsi="Times New Roman" w:cs="Times New Roman"/>
          <w:sz w:val="24"/>
          <w:szCs w:val="24"/>
        </w:rPr>
      </w:pPr>
      <w:r w:rsidRPr="00DD562C">
        <w:rPr>
          <w:rFonts w:ascii="Times New Roman" w:hAnsi="Times New Roman" w:cs="Times New Roman"/>
          <w:sz w:val="24"/>
          <w:szCs w:val="24"/>
        </w:rPr>
        <w:t>Posebni dio godišnje izvršenja financijskog plana za 202</w:t>
      </w:r>
      <w:r w:rsidR="003873DF">
        <w:rPr>
          <w:rFonts w:ascii="Times New Roman" w:hAnsi="Times New Roman" w:cs="Times New Roman"/>
          <w:sz w:val="24"/>
          <w:szCs w:val="24"/>
        </w:rPr>
        <w:t>4</w:t>
      </w:r>
      <w:r w:rsidRPr="00DD562C">
        <w:rPr>
          <w:rFonts w:ascii="Times New Roman" w:hAnsi="Times New Roman" w:cs="Times New Roman"/>
          <w:sz w:val="24"/>
          <w:szCs w:val="24"/>
        </w:rPr>
        <w:t>. godinu</w:t>
      </w:r>
      <w:r>
        <w:rPr>
          <w:rFonts w:ascii="Times New Roman" w:hAnsi="Times New Roman" w:cs="Times New Roman"/>
          <w:sz w:val="24"/>
          <w:szCs w:val="24"/>
        </w:rPr>
        <w:t xml:space="preserve"> se provodi kroz planirana sredstva za redovno poslovanje Fakulteta, provođenje studijskih programa visokog obrazovanja, aktivnosti koje Fakultet obavlja na tržištu putem stručnih projekata i obrazovanja pomoraca, projekata znanstvenoistraživačke djelatnosti</w:t>
      </w:r>
      <w:r w:rsidR="00652456">
        <w:rPr>
          <w:rFonts w:ascii="Times New Roman" w:hAnsi="Times New Roman" w:cs="Times New Roman"/>
          <w:sz w:val="24"/>
          <w:szCs w:val="24"/>
        </w:rPr>
        <w:t>, te provedba EU projekta koje se provode kroz sljedeće aktivnosti:</w:t>
      </w:r>
    </w:p>
    <w:p w:rsidR="00652456" w:rsidRDefault="00652456" w:rsidP="00BA1A01">
      <w:pPr>
        <w:spacing w:after="0"/>
        <w:jc w:val="both"/>
        <w:rPr>
          <w:rFonts w:ascii="Times New Roman" w:hAnsi="Times New Roman" w:cs="Times New Roman"/>
          <w:sz w:val="24"/>
          <w:szCs w:val="24"/>
        </w:rPr>
      </w:pPr>
    </w:p>
    <w:p w:rsidR="00652456" w:rsidRPr="00652456" w:rsidRDefault="00652456" w:rsidP="00BA1A01">
      <w:pPr>
        <w:spacing w:after="0"/>
        <w:jc w:val="both"/>
        <w:rPr>
          <w:rFonts w:ascii="Times New Roman" w:hAnsi="Times New Roman" w:cs="Times New Roman"/>
          <w:sz w:val="24"/>
          <w:szCs w:val="24"/>
          <w:u w:val="single"/>
        </w:rPr>
      </w:pPr>
      <w:r w:rsidRPr="00652456">
        <w:rPr>
          <w:rFonts w:ascii="Times New Roman" w:hAnsi="Times New Roman" w:cs="Times New Roman"/>
          <w:sz w:val="24"/>
          <w:szCs w:val="24"/>
          <w:u w:val="single"/>
        </w:rPr>
        <w:t xml:space="preserve">A621004 </w:t>
      </w:r>
      <w:r w:rsidR="00946C2B">
        <w:rPr>
          <w:rFonts w:ascii="Times New Roman" w:hAnsi="Times New Roman" w:cs="Times New Roman"/>
          <w:sz w:val="24"/>
          <w:szCs w:val="24"/>
          <w:u w:val="single"/>
        </w:rPr>
        <w:t>-</w:t>
      </w:r>
      <w:r w:rsidRPr="00652456">
        <w:rPr>
          <w:rFonts w:ascii="Times New Roman" w:hAnsi="Times New Roman" w:cs="Times New Roman"/>
          <w:sz w:val="24"/>
          <w:szCs w:val="24"/>
          <w:u w:val="single"/>
        </w:rPr>
        <w:t xml:space="preserve"> redovna djelatnost Sveučilišta u Splitu</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Obuhvaća plaće i materijalna prava zaposlenika koja su planirana temeljem Uputa Ministarstva financija i Ministarstva znanosti i visokog obrazovanja, te dobivenih limita od Sveučilišta u Splitu, a ostvaruju se preko računa Državne riznice.</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Unutar ove aktivnosti planirana su i sredstva za zdravstvene usluge, tj. za sistematske preglede zaposlenika, te za podmirenje naknade zbog nezapošljavanja invalida. Sredstva su doznačena od Ministarstva temeljem poslanih izvještaja, a višak neutrošenih sredstava se krajem proračunske godine vraća u državni proračun.</w:t>
      </w:r>
    </w:p>
    <w:p w:rsidR="00652456" w:rsidRDefault="00652456" w:rsidP="00BA1A01">
      <w:pPr>
        <w:spacing w:after="0"/>
        <w:jc w:val="both"/>
        <w:rPr>
          <w:rFonts w:ascii="Times New Roman" w:hAnsi="Times New Roman" w:cs="Times New Roman"/>
          <w:sz w:val="24"/>
          <w:szCs w:val="24"/>
        </w:rPr>
      </w:pPr>
    </w:p>
    <w:p w:rsidR="00652456" w:rsidRDefault="00652456" w:rsidP="00BA1A01">
      <w:pPr>
        <w:spacing w:after="0"/>
        <w:jc w:val="both"/>
        <w:rPr>
          <w:rFonts w:ascii="Times New Roman" w:hAnsi="Times New Roman" w:cs="Times New Roman"/>
          <w:sz w:val="24"/>
          <w:szCs w:val="24"/>
          <w:u w:val="single"/>
        </w:rPr>
      </w:pPr>
      <w:r w:rsidRPr="005D365A">
        <w:rPr>
          <w:rFonts w:ascii="Times New Roman" w:hAnsi="Times New Roman" w:cs="Times New Roman"/>
          <w:sz w:val="24"/>
          <w:szCs w:val="24"/>
          <w:u w:val="single"/>
        </w:rPr>
        <w:t xml:space="preserve">A622122 </w:t>
      </w:r>
      <w:r w:rsidR="00946C2B">
        <w:rPr>
          <w:rFonts w:ascii="Times New Roman" w:hAnsi="Times New Roman" w:cs="Times New Roman"/>
          <w:sz w:val="24"/>
          <w:szCs w:val="24"/>
          <w:u w:val="single"/>
        </w:rPr>
        <w:t>-</w:t>
      </w:r>
      <w:r w:rsidRPr="005D365A">
        <w:rPr>
          <w:rFonts w:ascii="Times New Roman" w:hAnsi="Times New Roman" w:cs="Times New Roman"/>
          <w:sz w:val="24"/>
          <w:szCs w:val="24"/>
          <w:u w:val="single"/>
        </w:rPr>
        <w:t xml:space="preserve"> </w:t>
      </w:r>
      <w:r w:rsidR="005D365A" w:rsidRPr="005D365A">
        <w:rPr>
          <w:rFonts w:ascii="Times New Roman" w:hAnsi="Times New Roman" w:cs="Times New Roman"/>
          <w:sz w:val="24"/>
          <w:szCs w:val="24"/>
          <w:u w:val="single"/>
        </w:rPr>
        <w:t>programsko financiranje javnih visokih učilišta</w:t>
      </w:r>
      <w:r w:rsidRPr="005D365A">
        <w:rPr>
          <w:rFonts w:ascii="Times New Roman" w:hAnsi="Times New Roman" w:cs="Times New Roman"/>
          <w:sz w:val="24"/>
          <w:szCs w:val="24"/>
          <w:u w:val="single"/>
        </w:rPr>
        <w:t xml:space="preserve">  </w:t>
      </w:r>
    </w:p>
    <w:p w:rsidR="005D365A" w:rsidRDefault="005D365A" w:rsidP="00BA1A01">
      <w:pPr>
        <w:spacing w:after="0"/>
        <w:jc w:val="both"/>
        <w:rPr>
          <w:rFonts w:ascii="Times New Roman" w:hAnsi="Times New Roman" w:cs="Times New Roman"/>
          <w:sz w:val="24"/>
          <w:szCs w:val="24"/>
        </w:rPr>
      </w:pPr>
      <w:r w:rsidRPr="005D365A">
        <w:rPr>
          <w:rFonts w:ascii="Times New Roman" w:hAnsi="Times New Roman" w:cs="Times New Roman"/>
          <w:sz w:val="24"/>
          <w:szCs w:val="24"/>
        </w:rPr>
        <w:t>Aktivnost Programskog financiranja ja</w:t>
      </w:r>
      <w:r>
        <w:rPr>
          <w:rFonts w:ascii="Times New Roman" w:hAnsi="Times New Roman" w:cs="Times New Roman"/>
          <w:sz w:val="24"/>
          <w:szCs w:val="24"/>
        </w:rPr>
        <w:t>vnih visokih učilišta obuhvaća sredstva koja se Fakultetu uplaćuju temeljem Ugovora o Programskom financiranju. Aktivnosti su podijeljene na namjene koje su definirane i samim Ugovorom, a to su financiranje nastavne djelatnosti, te financiranje znanstvene i umjetničke djelatnosti.</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Ostvareni rashodi iznose </w:t>
      </w:r>
      <w:r w:rsidR="003873DF">
        <w:rPr>
          <w:rFonts w:ascii="Times New Roman" w:hAnsi="Times New Roman" w:cs="Times New Roman"/>
          <w:sz w:val="24"/>
          <w:szCs w:val="24"/>
        </w:rPr>
        <w:t>153.279</w:t>
      </w:r>
      <w:r>
        <w:rPr>
          <w:rFonts w:ascii="Times New Roman" w:hAnsi="Times New Roman" w:cs="Times New Roman"/>
          <w:sz w:val="24"/>
          <w:szCs w:val="24"/>
        </w:rPr>
        <w:t>.- EUR-a, a odnose se na rashode za zaposlene</w:t>
      </w:r>
      <w:r w:rsidR="003873DF">
        <w:rPr>
          <w:rFonts w:ascii="Times New Roman" w:hAnsi="Times New Roman" w:cs="Times New Roman"/>
          <w:sz w:val="24"/>
          <w:szCs w:val="24"/>
        </w:rPr>
        <w:t>,</w:t>
      </w:r>
      <w:r>
        <w:rPr>
          <w:rFonts w:ascii="Times New Roman" w:hAnsi="Times New Roman" w:cs="Times New Roman"/>
          <w:sz w:val="24"/>
          <w:szCs w:val="24"/>
        </w:rPr>
        <w:t xml:space="preserve"> rashode za usluge i to najvećim dijelom za intelektualne usluge, tj. isplata drugog dohotka za održanu nastavu vanjskim suradnicima. Ostali rashodi po ovoj aktivnosti odnose se na materijalne rashode redovnog poslovanja, pokrića troškova uredskih materijala, električne energije, troškovi održavanja, službenih putovanja, komunalnih usluga i ostalih rashoda poslovanja.</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Prihodi po ovoj aktivnosti planirani su u okviru limita dobivenih od Ministarstva znanosti i visokog obrazovanja, tj. od Sveučilišta u Splitu, koje Fakultetu doznači sredstva na žiro račun.</w:t>
      </w:r>
    </w:p>
    <w:p w:rsidR="005D365A" w:rsidRDefault="005D365A" w:rsidP="00BA1A01">
      <w:pPr>
        <w:spacing w:after="0"/>
        <w:jc w:val="both"/>
        <w:rPr>
          <w:rFonts w:ascii="Times New Roman" w:hAnsi="Times New Roman" w:cs="Times New Roman"/>
          <w:sz w:val="24"/>
          <w:szCs w:val="24"/>
        </w:rPr>
      </w:pPr>
    </w:p>
    <w:p w:rsidR="005D365A" w:rsidRDefault="005D365A" w:rsidP="00BA1A01">
      <w:pPr>
        <w:spacing w:after="0"/>
        <w:jc w:val="both"/>
        <w:rPr>
          <w:rFonts w:ascii="Times New Roman" w:hAnsi="Times New Roman" w:cs="Times New Roman"/>
          <w:sz w:val="24"/>
          <w:szCs w:val="24"/>
          <w:u w:val="single"/>
        </w:rPr>
      </w:pPr>
      <w:r w:rsidRPr="00946C2B">
        <w:rPr>
          <w:rFonts w:ascii="Times New Roman" w:hAnsi="Times New Roman" w:cs="Times New Roman"/>
          <w:sz w:val="24"/>
          <w:szCs w:val="24"/>
          <w:u w:val="single"/>
        </w:rPr>
        <w:t>A</w:t>
      </w:r>
      <w:r w:rsidR="00946C2B" w:rsidRPr="00946C2B">
        <w:rPr>
          <w:rFonts w:ascii="Times New Roman" w:hAnsi="Times New Roman" w:cs="Times New Roman"/>
          <w:sz w:val="24"/>
          <w:szCs w:val="24"/>
          <w:u w:val="single"/>
        </w:rPr>
        <w:t>621181</w:t>
      </w:r>
      <w:r w:rsidR="00946C2B">
        <w:rPr>
          <w:rFonts w:ascii="Times New Roman" w:hAnsi="Times New Roman" w:cs="Times New Roman"/>
          <w:sz w:val="24"/>
          <w:szCs w:val="24"/>
          <w:u w:val="single"/>
        </w:rPr>
        <w:t xml:space="preserve"> </w:t>
      </w:r>
      <w:r w:rsidR="00946C2B" w:rsidRPr="00946C2B">
        <w:rPr>
          <w:rFonts w:ascii="Times New Roman" w:hAnsi="Times New Roman" w:cs="Times New Roman"/>
          <w:sz w:val="24"/>
          <w:szCs w:val="24"/>
          <w:u w:val="single"/>
        </w:rPr>
        <w:t>- pravomoćne sudske presude</w:t>
      </w:r>
    </w:p>
    <w:p w:rsidR="00946C2B" w:rsidRDefault="00946C2B" w:rsidP="00BA1A01">
      <w:pPr>
        <w:spacing w:after="0"/>
        <w:jc w:val="both"/>
        <w:rPr>
          <w:rFonts w:ascii="Times New Roman" w:hAnsi="Times New Roman" w:cs="Times New Roman"/>
          <w:sz w:val="24"/>
          <w:szCs w:val="24"/>
        </w:rPr>
      </w:pPr>
      <w:r w:rsidRPr="00946C2B">
        <w:rPr>
          <w:rFonts w:ascii="Times New Roman" w:hAnsi="Times New Roman" w:cs="Times New Roman"/>
          <w:sz w:val="24"/>
          <w:szCs w:val="24"/>
        </w:rPr>
        <w:t>Prema uputama Ministars</w:t>
      </w:r>
      <w:r>
        <w:rPr>
          <w:rFonts w:ascii="Times New Roman" w:hAnsi="Times New Roman" w:cs="Times New Roman"/>
          <w:sz w:val="24"/>
          <w:szCs w:val="24"/>
        </w:rPr>
        <w:t>tva navedena aktivnost se ne iskazuje u Financijskom planu. Radi se o isplatama razlike u plaćama zaposlenika koji su u 202</w:t>
      </w:r>
      <w:r w:rsidR="003873DF">
        <w:rPr>
          <w:rFonts w:ascii="Times New Roman" w:hAnsi="Times New Roman" w:cs="Times New Roman"/>
          <w:sz w:val="24"/>
          <w:szCs w:val="24"/>
        </w:rPr>
        <w:t>4</w:t>
      </w:r>
      <w:r>
        <w:rPr>
          <w:rFonts w:ascii="Times New Roman" w:hAnsi="Times New Roman" w:cs="Times New Roman"/>
          <w:sz w:val="24"/>
          <w:szCs w:val="24"/>
        </w:rPr>
        <w:t xml:space="preserve"> godini isplaćene </w:t>
      </w:r>
      <w:proofErr w:type="spellStart"/>
      <w:r w:rsidR="003873DF">
        <w:rPr>
          <w:rFonts w:ascii="Times New Roman" w:hAnsi="Times New Roman" w:cs="Times New Roman"/>
          <w:sz w:val="24"/>
          <w:szCs w:val="24"/>
        </w:rPr>
        <w:t>ua</w:t>
      </w:r>
      <w:proofErr w:type="spellEnd"/>
      <w:r w:rsidR="003873DF">
        <w:rPr>
          <w:rFonts w:ascii="Times New Roman" w:hAnsi="Times New Roman" w:cs="Times New Roman"/>
          <w:sz w:val="24"/>
          <w:szCs w:val="24"/>
        </w:rPr>
        <w:t xml:space="preserve"> preostala dva zaposlenika</w:t>
      </w:r>
      <w:r>
        <w:rPr>
          <w:rFonts w:ascii="Times New Roman" w:hAnsi="Times New Roman" w:cs="Times New Roman"/>
          <w:sz w:val="24"/>
          <w:szCs w:val="24"/>
        </w:rPr>
        <w:t xml:space="preserve"> EUR-a, a uključuju i zatezne kamate, troškove odvjetnika i troškove suda.</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Potraživanja za refundaciju utrošenih sredstava su poslana Ministarstvu, sukladno uputama dobivenih od Ministarstva znanosti i visokog obrazovanja.</w:t>
      </w:r>
    </w:p>
    <w:p w:rsidR="00946C2B" w:rsidRDefault="00946C2B" w:rsidP="00BA1A01">
      <w:pPr>
        <w:spacing w:after="0"/>
        <w:jc w:val="both"/>
        <w:rPr>
          <w:rFonts w:ascii="Times New Roman" w:hAnsi="Times New Roman" w:cs="Times New Roman"/>
          <w:sz w:val="24"/>
          <w:szCs w:val="24"/>
        </w:rPr>
      </w:pPr>
    </w:p>
    <w:p w:rsidR="00946C2B" w:rsidRPr="00946C2B" w:rsidRDefault="00946C2B" w:rsidP="00BA1A01">
      <w:pPr>
        <w:spacing w:after="0"/>
        <w:jc w:val="both"/>
        <w:rPr>
          <w:rFonts w:ascii="Times New Roman" w:hAnsi="Times New Roman" w:cs="Times New Roman"/>
          <w:sz w:val="24"/>
          <w:szCs w:val="24"/>
          <w:u w:val="single"/>
        </w:rPr>
      </w:pPr>
      <w:r w:rsidRPr="00946C2B">
        <w:rPr>
          <w:rFonts w:ascii="Times New Roman" w:hAnsi="Times New Roman" w:cs="Times New Roman"/>
          <w:sz w:val="24"/>
          <w:szCs w:val="24"/>
          <w:u w:val="single"/>
        </w:rPr>
        <w:t xml:space="preserve">A679091 </w:t>
      </w:r>
      <w:r w:rsidR="006028AA">
        <w:rPr>
          <w:rFonts w:ascii="Times New Roman" w:hAnsi="Times New Roman" w:cs="Times New Roman"/>
          <w:sz w:val="24"/>
          <w:szCs w:val="24"/>
          <w:u w:val="single"/>
        </w:rPr>
        <w:t>-</w:t>
      </w:r>
      <w:r w:rsidRPr="00946C2B">
        <w:rPr>
          <w:rFonts w:ascii="Times New Roman" w:hAnsi="Times New Roman" w:cs="Times New Roman"/>
          <w:sz w:val="24"/>
          <w:szCs w:val="24"/>
          <w:u w:val="single"/>
        </w:rPr>
        <w:t xml:space="preserve"> redovna djelatnost Sveučilišta u Splitu (iz evidencijskih prihoda)</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Aktivnost redovna djelatnost Sveučilišta u Splitu obuhvaća najveći dio poslovanja Fakulteta uz financiranje programskih ugovora, posebno ako uzmemo u obzir da aktivnost A621004 obuhvaća plaće koje se ostvaruju preko državne riznice.</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Na ovoj aktivnosti su slijedeći izvori financiranja:</w:t>
      </w: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Vlastiti prihodi </w:t>
      </w:r>
      <w:r w:rsidR="003E7F89">
        <w:rPr>
          <w:rFonts w:ascii="Times New Roman" w:hAnsi="Times New Roman" w:cs="Times New Roman"/>
          <w:sz w:val="24"/>
          <w:szCs w:val="24"/>
        </w:rPr>
        <w:t>(</w:t>
      </w:r>
      <w:r>
        <w:rPr>
          <w:rFonts w:ascii="Times New Roman" w:hAnsi="Times New Roman" w:cs="Times New Roman"/>
          <w:sz w:val="24"/>
          <w:szCs w:val="24"/>
        </w:rPr>
        <w:t>izvor 31</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troškovi po ovoj aktivnosti odnose se na troškove isplata plaća zaposlenicima koji rade na Posebnom programu obrazovanja i Trening centru, te pripadajuće doprinose. Ostali materijalni rashodi, uključujući troškove reprezentacije, intelektualnih i osobnih usluga, te dane donacije sukladno natječaju o donacijama.</w:t>
      </w:r>
    </w:p>
    <w:p w:rsidR="00185BCA" w:rsidRDefault="00185BCA" w:rsidP="00185BCA">
      <w:pPr>
        <w:pStyle w:val="ListParagraph"/>
        <w:spacing w:after="0"/>
        <w:jc w:val="both"/>
        <w:rPr>
          <w:rFonts w:ascii="Times New Roman" w:hAnsi="Times New Roman" w:cs="Times New Roman"/>
          <w:sz w:val="24"/>
          <w:szCs w:val="24"/>
        </w:rPr>
      </w:pPr>
    </w:p>
    <w:p w:rsidR="00946C2B" w:rsidRPr="00946C2B" w:rsidRDefault="00946C2B" w:rsidP="00946C2B">
      <w:pPr>
        <w:pStyle w:val="ListParagraph"/>
        <w:spacing w:after="0"/>
        <w:jc w:val="both"/>
        <w:rPr>
          <w:rFonts w:ascii="Times New Roman" w:hAnsi="Times New Roman" w:cs="Times New Roman"/>
          <w:sz w:val="24"/>
          <w:szCs w:val="24"/>
        </w:rPr>
      </w:pP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Prihodi za posebne namjene </w:t>
      </w:r>
      <w:r w:rsidR="00256182">
        <w:rPr>
          <w:rFonts w:ascii="Times New Roman" w:hAnsi="Times New Roman" w:cs="Times New Roman"/>
          <w:sz w:val="24"/>
          <w:szCs w:val="24"/>
        </w:rPr>
        <w:t>(</w:t>
      </w:r>
      <w:r>
        <w:rPr>
          <w:rFonts w:ascii="Times New Roman" w:hAnsi="Times New Roman" w:cs="Times New Roman"/>
          <w:sz w:val="24"/>
          <w:szCs w:val="24"/>
        </w:rPr>
        <w:t>izvor 43</w:t>
      </w:r>
      <w:r w:rsidR="00256182">
        <w:rPr>
          <w:rFonts w:ascii="Times New Roman" w:hAnsi="Times New Roman" w:cs="Times New Roman"/>
          <w:sz w:val="24"/>
          <w:szCs w:val="24"/>
        </w:rPr>
        <w:t xml:space="preserve">) – utrošeno je </w:t>
      </w:r>
      <w:r w:rsidR="003873DF">
        <w:rPr>
          <w:rFonts w:ascii="Times New Roman" w:hAnsi="Times New Roman" w:cs="Times New Roman"/>
          <w:sz w:val="24"/>
          <w:szCs w:val="24"/>
        </w:rPr>
        <w:t>50</w:t>
      </w:r>
      <w:r w:rsidR="00256182">
        <w:rPr>
          <w:rFonts w:ascii="Times New Roman" w:hAnsi="Times New Roman" w:cs="Times New Roman"/>
          <w:sz w:val="24"/>
          <w:szCs w:val="24"/>
        </w:rPr>
        <w:t>% troškova u odnosu na planiran</w:t>
      </w:r>
      <w:r w:rsidR="003873DF">
        <w:rPr>
          <w:rFonts w:ascii="Times New Roman" w:hAnsi="Times New Roman" w:cs="Times New Roman"/>
          <w:sz w:val="24"/>
          <w:szCs w:val="24"/>
        </w:rPr>
        <w:t>o na godišnjoj razini</w:t>
      </w:r>
      <w:r w:rsidR="00256182">
        <w:rPr>
          <w:rFonts w:ascii="Times New Roman" w:hAnsi="Times New Roman" w:cs="Times New Roman"/>
          <w:sz w:val="24"/>
          <w:szCs w:val="24"/>
        </w:rPr>
        <w:t xml:space="preserve">. </w:t>
      </w:r>
      <w:r w:rsidR="003873DF">
        <w:rPr>
          <w:rFonts w:ascii="Times New Roman" w:hAnsi="Times New Roman" w:cs="Times New Roman"/>
          <w:sz w:val="24"/>
          <w:szCs w:val="24"/>
        </w:rPr>
        <w:t>D</w:t>
      </w:r>
      <w:r w:rsidR="00256182">
        <w:rPr>
          <w:rFonts w:ascii="Times New Roman" w:hAnsi="Times New Roman" w:cs="Times New Roman"/>
          <w:sz w:val="24"/>
          <w:szCs w:val="24"/>
        </w:rPr>
        <w:t>označen</w:t>
      </w:r>
      <w:r w:rsidR="003873DF">
        <w:rPr>
          <w:rFonts w:ascii="Times New Roman" w:hAnsi="Times New Roman" w:cs="Times New Roman"/>
          <w:sz w:val="24"/>
          <w:szCs w:val="24"/>
        </w:rPr>
        <w:t>a</w:t>
      </w:r>
      <w:r w:rsidR="00256182">
        <w:rPr>
          <w:rFonts w:ascii="Times New Roman" w:hAnsi="Times New Roman" w:cs="Times New Roman"/>
          <w:sz w:val="24"/>
          <w:szCs w:val="24"/>
        </w:rPr>
        <w:t xml:space="preserve"> sredstva od programskih ugovora u dosta manjem iznosu od planiranih tj. dobivenih limita od Sveučilišta u Splitu. Razlika za redovne, mjesečne materijalne troškove koje su planom bile predviđene za potrošnju iz sredstava po aktivnosti A622122, se pokrila iz ovog izvora financiranja. Prihodi ostvareni po ovom izvoru su od školarina studenata i ostalih naknada za upisnine, X-</w:t>
      </w:r>
      <w:proofErr w:type="spellStart"/>
      <w:r w:rsidR="00256182">
        <w:rPr>
          <w:rFonts w:ascii="Times New Roman" w:hAnsi="Times New Roman" w:cs="Times New Roman"/>
          <w:sz w:val="24"/>
          <w:szCs w:val="24"/>
        </w:rPr>
        <w:t>ice</w:t>
      </w:r>
      <w:proofErr w:type="spellEnd"/>
      <w:r w:rsidR="00256182">
        <w:rPr>
          <w:rFonts w:ascii="Times New Roman" w:hAnsi="Times New Roman" w:cs="Times New Roman"/>
          <w:sz w:val="24"/>
          <w:szCs w:val="24"/>
        </w:rPr>
        <w:t>, troškove promocije i sl.</w:t>
      </w:r>
    </w:p>
    <w:p w:rsidR="006028AA" w:rsidRDefault="006028AA" w:rsidP="006028AA">
      <w:pPr>
        <w:pStyle w:val="ListParagraph"/>
        <w:spacing w:after="0"/>
        <w:jc w:val="both"/>
        <w:rPr>
          <w:rFonts w:ascii="Times New Roman" w:hAnsi="Times New Roman" w:cs="Times New Roman"/>
          <w:sz w:val="24"/>
          <w:szCs w:val="24"/>
        </w:rPr>
      </w:pPr>
    </w:p>
    <w:p w:rsidR="006028AA" w:rsidRPr="00F22312" w:rsidRDefault="006028AA" w:rsidP="006028AA">
      <w:pPr>
        <w:spacing w:after="0"/>
        <w:jc w:val="both"/>
        <w:rPr>
          <w:rFonts w:ascii="Times New Roman" w:hAnsi="Times New Roman" w:cs="Times New Roman"/>
          <w:sz w:val="24"/>
          <w:szCs w:val="24"/>
          <w:u w:val="single"/>
        </w:rPr>
      </w:pPr>
      <w:r w:rsidRPr="00F22312">
        <w:rPr>
          <w:rFonts w:ascii="Times New Roman" w:hAnsi="Times New Roman" w:cs="Times New Roman"/>
          <w:sz w:val="24"/>
          <w:szCs w:val="24"/>
          <w:u w:val="single"/>
        </w:rPr>
        <w:t>A679077 – EU projekti Sveučilišta u Splitu (iz evidencijskih prihoda)</w:t>
      </w:r>
    </w:p>
    <w:p w:rsidR="00F22312" w:rsidRDefault="00F22312" w:rsidP="00946C2B">
      <w:pPr>
        <w:spacing w:after="0"/>
        <w:jc w:val="both"/>
        <w:rPr>
          <w:rFonts w:ascii="Times New Roman" w:hAnsi="Times New Roman" w:cs="Times New Roman"/>
          <w:sz w:val="24"/>
          <w:szCs w:val="24"/>
        </w:rPr>
      </w:pPr>
      <w:r>
        <w:rPr>
          <w:rFonts w:ascii="Times New Roman" w:hAnsi="Times New Roman" w:cs="Times New Roman"/>
          <w:sz w:val="24"/>
          <w:szCs w:val="24"/>
        </w:rPr>
        <w:t>Odnosi se na sredstva po izvore financiranja 52 pomoći i 61 donacije.</w:t>
      </w:r>
    </w:p>
    <w:p w:rsidR="00946C2B" w:rsidRDefault="00F22312" w:rsidP="002708C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Pomoći (izvor 52) </w:t>
      </w:r>
      <w:r w:rsidR="00B46F2D">
        <w:rPr>
          <w:rFonts w:ascii="Times New Roman" w:hAnsi="Times New Roman" w:cs="Times New Roman"/>
          <w:sz w:val="24"/>
          <w:szCs w:val="24"/>
        </w:rPr>
        <w:t>-</w:t>
      </w:r>
      <w:r>
        <w:rPr>
          <w:rFonts w:ascii="Times New Roman" w:hAnsi="Times New Roman" w:cs="Times New Roman"/>
          <w:sz w:val="24"/>
          <w:szCs w:val="24"/>
        </w:rPr>
        <w:t xml:space="preserve"> sredstva ponajviše čine prenosi između proračunskih korisnika istog proračuna</w:t>
      </w:r>
      <w:r w:rsidR="002708CA">
        <w:rPr>
          <w:rFonts w:ascii="Times New Roman" w:hAnsi="Times New Roman" w:cs="Times New Roman"/>
          <w:sz w:val="24"/>
          <w:szCs w:val="24"/>
        </w:rPr>
        <w:t xml:space="preserve"> za </w:t>
      </w:r>
      <w:proofErr w:type="spellStart"/>
      <w:r w:rsidR="002708CA">
        <w:rPr>
          <w:rFonts w:ascii="Times New Roman" w:hAnsi="Times New Roman" w:cs="Times New Roman"/>
          <w:sz w:val="24"/>
          <w:szCs w:val="24"/>
        </w:rPr>
        <w:t>Erasmus</w:t>
      </w:r>
      <w:proofErr w:type="spellEnd"/>
      <w:r w:rsidR="002708CA">
        <w:rPr>
          <w:rFonts w:ascii="Times New Roman" w:hAnsi="Times New Roman" w:cs="Times New Roman"/>
          <w:sz w:val="24"/>
          <w:szCs w:val="24"/>
        </w:rPr>
        <w:t xml:space="preserve"> putovanja, te projekte čiji je nositelj Sveučilište u Splitu</w:t>
      </w:r>
      <w:r w:rsidRPr="002708CA">
        <w:rPr>
          <w:rFonts w:ascii="Times New Roman" w:hAnsi="Times New Roman" w:cs="Times New Roman"/>
          <w:sz w:val="24"/>
          <w:szCs w:val="24"/>
        </w:rPr>
        <w:t>. Po računu 369 nismo imali</w:t>
      </w:r>
      <w:r w:rsidR="00502F05" w:rsidRPr="002708CA">
        <w:rPr>
          <w:rFonts w:ascii="Times New Roman" w:hAnsi="Times New Roman" w:cs="Times New Roman"/>
          <w:sz w:val="24"/>
          <w:szCs w:val="24"/>
        </w:rPr>
        <w:t xml:space="preserve"> prijenosa sredstava drugim proračunskim korisnicima. </w:t>
      </w:r>
      <w:r w:rsidRPr="002708CA">
        <w:rPr>
          <w:rFonts w:ascii="Times New Roman" w:hAnsi="Times New Roman" w:cs="Times New Roman"/>
          <w:sz w:val="24"/>
          <w:szCs w:val="24"/>
        </w:rPr>
        <w:t xml:space="preserve"> </w:t>
      </w:r>
      <w:bookmarkStart w:id="0" w:name="_GoBack"/>
      <w:bookmarkEnd w:id="0"/>
    </w:p>
    <w:sectPr w:rsidR="00946C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7A" w:rsidRDefault="00A26B7A" w:rsidP="00CA4ABD">
      <w:pPr>
        <w:spacing w:after="0" w:line="240" w:lineRule="auto"/>
      </w:pPr>
      <w:r>
        <w:separator/>
      </w:r>
    </w:p>
  </w:endnote>
  <w:endnote w:type="continuationSeparator" w:id="0">
    <w:p w:rsidR="00A26B7A" w:rsidRDefault="00A26B7A" w:rsidP="00CA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098829"/>
      <w:docPartObj>
        <w:docPartGallery w:val="Page Numbers (Bottom of Page)"/>
        <w:docPartUnique/>
      </w:docPartObj>
    </w:sdtPr>
    <w:sdtEndPr/>
    <w:sdtContent>
      <w:p w:rsidR="00CA4ABD" w:rsidRDefault="00CA4ABD">
        <w:pPr>
          <w:pStyle w:val="Footer"/>
          <w:jc w:val="right"/>
        </w:pPr>
        <w:r>
          <w:fldChar w:fldCharType="begin"/>
        </w:r>
        <w:r>
          <w:instrText>PAGE   \* MERGEFORMAT</w:instrText>
        </w:r>
        <w:r>
          <w:fldChar w:fldCharType="separate"/>
        </w:r>
        <w:r>
          <w:t>2</w:t>
        </w:r>
        <w:r>
          <w:fldChar w:fldCharType="end"/>
        </w:r>
      </w:p>
    </w:sdtContent>
  </w:sdt>
  <w:p w:rsidR="00CA4ABD" w:rsidRDefault="00C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7A" w:rsidRDefault="00A26B7A" w:rsidP="00CA4ABD">
      <w:pPr>
        <w:spacing w:after="0" w:line="240" w:lineRule="auto"/>
      </w:pPr>
      <w:r>
        <w:separator/>
      </w:r>
    </w:p>
  </w:footnote>
  <w:footnote w:type="continuationSeparator" w:id="0">
    <w:p w:rsidR="00A26B7A" w:rsidRDefault="00A26B7A" w:rsidP="00CA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C6F"/>
    <w:multiLevelType w:val="hybridMultilevel"/>
    <w:tmpl w:val="0BEA8816"/>
    <w:lvl w:ilvl="0" w:tplc="0D2CAFC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D84284"/>
    <w:multiLevelType w:val="hybridMultilevel"/>
    <w:tmpl w:val="D1FC6C1A"/>
    <w:lvl w:ilvl="0" w:tplc="4404B2C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9054E8"/>
    <w:multiLevelType w:val="hybridMultilevel"/>
    <w:tmpl w:val="F00A5C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9E0CE2"/>
    <w:multiLevelType w:val="hybridMultilevel"/>
    <w:tmpl w:val="EAE4BF0A"/>
    <w:lvl w:ilvl="0" w:tplc="A4E0C54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162FFC"/>
    <w:multiLevelType w:val="hybridMultilevel"/>
    <w:tmpl w:val="3320A6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4"/>
    <w:rsid w:val="00044620"/>
    <w:rsid w:val="0006752F"/>
    <w:rsid w:val="0011145A"/>
    <w:rsid w:val="0012737F"/>
    <w:rsid w:val="001363F7"/>
    <w:rsid w:val="00185BCA"/>
    <w:rsid w:val="00196667"/>
    <w:rsid w:val="001A63C4"/>
    <w:rsid w:val="001C13DB"/>
    <w:rsid w:val="00212881"/>
    <w:rsid w:val="00232FB4"/>
    <w:rsid w:val="00234E01"/>
    <w:rsid w:val="00237982"/>
    <w:rsid w:val="00256182"/>
    <w:rsid w:val="002708CA"/>
    <w:rsid w:val="002B2C13"/>
    <w:rsid w:val="0034772E"/>
    <w:rsid w:val="00356FE3"/>
    <w:rsid w:val="003873DF"/>
    <w:rsid w:val="003D6477"/>
    <w:rsid w:val="003E7F89"/>
    <w:rsid w:val="00487E1C"/>
    <w:rsid w:val="00497DA7"/>
    <w:rsid w:val="004B5AE8"/>
    <w:rsid w:val="00502F05"/>
    <w:rsid w:val="005D084A"/>
    <w:rsid w:val="005D365A"/>
    <w:rsid w:val="005F74E2"/>
    <w:rsid w:val="006028AA"/>
    <w:rsid w:val="00603A21"/>
    <w:rsid w:val="00652456"/>
    <w:rsid w:val="006757A1"/>
    <w:rsid w:val="00687BCC"/>
    <w:rsid w:val="006E1F8D"/>
    <w:rsid w:val="00717BD5"/>
    <w:rsid w:val="007470DE"/>
    <w:rsid w:val="007D0534"/>
    <w:rsid w:val="007E134A"/>
    <w:rsid w:val="007F6443"/>
    <w:rsid w:val="008262B2"/>
    <w:rsid w:val="00900A81"/>
    <w:rsid w:val="0094366B"/>
    <w:rsid w:val="00946C2B"/>
    <w:rsid w:val="00985710"/>
    <w:rsid w:val="009C59D3"/>
    <w:rsid w:val="00A26B7A"/>
    <w:rsid w:val="00B16062"/>
    <w:rsid w:val="00B46F2D"/>
    <w:rsid w:val="00B95AD7"/>
    <w:rsid w:val="00BA1A01"/>
    <w:rsid w:val="00BE24D6"/>
    <w:rsid w:val="00C62531"/>
    <w:rsid w:val="00C7065E"/>
    <w:rsid w:val="00CA4ABD"/>
    <w:rsid w:val="00CB64B1"/>
    <w:rsid w:val="00CC380A"/>
    <w:rsid w:val="00D05000"/>
    <w:rsid w:val="00DD562C"/>
    <w:rsid w:val="00DF236C"/>
    <w:rsid w:val="00E14985"/>
    <w:rsid w:val="00E40942"/>
    <w:rsid w:val="00F22312"/>
    <w:rsid w:val="00FB5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DCA7"/>
  <w15:chartTrackingRefBased/>
  <w15:docId w15:val="{D4AAA534-187C-4AD0-95B9-F9D1F73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3C4"/>
    <w:pPr>
      <w:ind w:left="720"/>
      <w:contextualSpacing/>
    </w:pPr>
  </w:style>
  <w:style w:type="table" w:styleId="TableGrid">
    <w:name w:val="Table Grid"/>
    <w:basedOn w:val="TableNormal"/>
    <w:uiPriority w:val="59"/>
    <w:rsid w:val="0011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A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ABD"/>
  </w:style>
  <w:style w:type="paragraph" w:styleId="Footer">
    <w:name w:val="footer"/>
    <w:basedOn w:val="Normal"/>
    <w:link w:val="FooterChar"/>
    <w:uiPriority w:val="99"/>
    <w:unhideWhenUsed/>
    <w:rsid w:val="00CA4A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Borzić</dc:creator>
  <cp:keywords/>
  <dc:description/>
  <cp:lastModifiedBy>Ana Borzić</cp:lastModifiedBy>
  <cp:revision>28</cp:revision>
  <dcterms:created xsi:type="dcterms:W3CDTF">2023-08-22T06:47:00Z</dcterms:created>
  <dcterms:modified xsi:type="dcterms:W3CDTF">2024-07-30T10:08:00Z</dcterms:modified>
</cp:coreProperties>
</file>